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12" w:rsidRPr="00430855" w:rsidRDefault="002B4261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  <w:r w:rsidRPr="00430855">
        <w:rPr>
          <w:rFonts w:ascii="黑体" w:eastAsia="黑体" w:hAnsi="黑体" w:hint="eastAsia"/>
          <w:b/>
          <w:sz w:val="24"/>
        </w:rPr>
        <w:t>股票代码：</w:t>
      </w:r>
      <w:r w:rsidRPr="00430855">
        <w:rPr>
          <w:rFonts w:ascii="黑体" w:eastAsia="黑体" w:hAnsi="黑体"/>
          <w:b/>
          <w:sz w:val="24"/>
        </w:rPr>
        <w:t xml:space="preserve">600362        </w:t>
      </w:r>
      <w:r w:rsidR="00E75998" w:rsidRPr="00430855">
        <w:rPr>
          <w:rFonts w:ascii="黑体" w:eastAsia="黑体" w:hAnsi="黑体" w:hint="eastAsia"/>
          <w:b/>
          <w:sz w:val="24"/>
        </w:rPr>
        <w:t xml:space="preserve">  </w:t>
      </w:r>
      <w:r w:rsidRPr="00430855">
        <w:rPr>
          <w:rFonts w:ascii="黑体" w:eastAsia="黑体" w:hAnsi="黑体" w:hint="eastAsia"/>
          <w:b/>
          <w:sz w:val="24"/>
        </w:rPr>
        <w:t>股票简称：江西铜业</w:t>
      </w:r>
      <w:r w:rsidRPr="00430855">
        <w:rPr>
          <w:rFonts w:ascii="黑体" w:eastAsia="黑体" w:hAnsi="黑体"/>
          <w:b/>
          <w:sz w:val="24"/>
        </w:rPr>
        <w:t xml:space="preserve">       </w:t>
      </w:r>
      <w:r w:rsidRPr="00430855">
        <w:rPr>
          <w:rFonts w:ascii="黑体" w:eastAsia="黑体" w:hAnsi="黑体" w:hint="eastAsia"/>
          <w:b/>
          <w:sz w:val="24"/>
        </w:rPr>
        <w:t>编号：</w:t>
      </w:r>
      <w:r w:rsidRPr="006868BD">
        <w:rPr>
          <w:rFonts w:ascii="黑体" w:eastAsia="黑体" w:hAnsi="黑体" w:hint="eastAsia"/>
          <w:b/>
          <w:sz w:val="24"/>
        </w:rPr>
        <w:t>临</w:t>
      </w:r>
      <w:r w:rsidRPr="006868BD">
        <w:rPr>
          <w:rFonts w:ascii="黑体" w:eastAsia="黑体" w:hAnsi="黑体"/>
          <w:b/>
          <w:sz w:val="24"/>
        </w:rPr>
        <w:t>201</w:t>
      </w:r>
      <w:r w:rsidR="00066AC4" w:rsidRPr="006868BD">
        <w:rPr>
          <w:rFonts w:ascii="黑体" w:eastAsia="黑体" w:hAnsi="黑体" w:hint="eastAsia"/>
          <w:b/>
          <w:sz w:val="24"/>
        </w:rPr>
        <w:t>9</w:t>
      </w:r>
      <w:r w:rsidRPr="006868BD">
        <w:rPr>
          <w:rFonts w:ascii="黑体" w:eastAsia="黑体" w:hAnsi="黑体"/>
          <w:b/>
          <w:sz w:val="24"/>
        </w:rPr>
        <w:t>-0</w:t>
      </w:r>
      <w:r w:rsidR="006F37F8" w:rsidRPr="006868BD">
        <w:rPr>
          <w:rFonts w:ascii="黑体" w:eastAsia="黑体" w:hAnsi="黑体" w:hint="eastAsia"/>
          <w:b/>
          <w:sz w:val="24"/>
        </w:rPr>
        <w:t>5</w:t>
      </w:r>
      <w:r w:rsidR="006868BD">
        <w:rPr>
          <w:rFonts w:ascii="黑体" w:eastAsia="黑体" w:hAnsi="黑体" w:hint="eastAsia"/>
          <w:b/>
          <w:sz w:val="24"/>
        </w:rPr>
        <w:t>0</w:t>
      </w:r>
    </w:p>
    <w:p w:rsidR="00665DAE" w:rsidRDefault="002B4261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  <w:r w:rsidRPr="00430855">
        <w:rPr>
          <w:rFonts w:ascii="黑体" w:eastAsia="黑体" w:hAnsi="黑体" w:hint="eastAsia"/>
          <w:b/>
          <w:sz w:val="24"/>
        </w:rPr>
        <w:t>债券代码：</w:t>
      </w:r>
      <w:r w:rsidRPr="00430855">
        <w:rPr>
          <w:rFonts w:ascii="黑体" w:eastAsia="黑体" w:hAnsi="黑体"/>
          <w:b/>
          <w:sz w:val="24"/>
        </w:rPr>
        <w:t xml:space="preserve">143304        </w:t>
      </w:r>
      <w:r w:rsidR="00066AC4" w:rsidRPr="00430855">
        <w:rPr>
          <w:rFonts w:ascii="黑体" w:eastAsia="黑体" w:hAnsi="黑体" w:hint="eastAsia"/>
          <w:b/>
          <w:sz w:val="24"/>
        </w:rPr>
        <w:t xml:space="preserve"> </w:t>
      </w:r>
      <w:r w:rsidRPr="00430855">
        <w:rPr>
          <w:rFonts w:ascii="黑体" w:eastAsia="黑体" w:hAnsi="黑体"/>
          <w:b/>
          <w:sz w:val="24"/>
        </w:rPr>
        <w:t xml:space="preserve"> </w:t>
      </w:r>
      <w:r w:rsidRPr="00430855">
        <w:rPr>
          <w:rFonts w:ascii="黑体" w:eastAsia="黑体" w:hAnsi="黑体" w:hint="eastAsia"/>
          <w:b/>
          <w:sz w:val="24"/>
        </w:rPr>
        <w:t>债券简称：</w:t>
      </w:r>
      <w:r w:rsidRPr="00430855">
        <w:rPr>
          <w:rFonts w:ascii="黑体" w:eastAsia="黑体" w:hAnsi="黑体"/>
          <w:b/>
          <w:sz w:val="24"/>
        </w:rPr>
        <w:t>17</w:t>
      </w:r>
      <w:r w:rsidRPr="00430855">
        <w:rPr>
          <w:rFonts w:ascii="黑体" w:eastAsia="黑体" w:hAnsi="黑体" w:hint="eastAsia"/>
          <w:b/>
          <w:sz w:val="24"/>
        </w:rPr>
        <w:t>江铜</w:t>
      </w:r>
      <w:r w:rsidRPr="00430855">
        <w:rPr>
          <w:rFonts w:ascii="黑体" w:eastAsia="黑体" w:hAnsi="黑体"/>
          <w:b/>
          <w:sz w:val="24"/>
        </w:rPr>
        <w:t>01</w:t>
      </w:r>
    </w:p>
    <w:p w:rsidR="00430855" w:rsidRPr="00430855" w:rsidRDefault="00430855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</w:p>
    <w:p w:rsidR="00330912" w:rsidRPr="00B83B88" w:rsidRDefault="00330912" w:rsidP="007973CA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 w:rsidRPr="00B83B88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江西铜业股份有限公司</w:t>
      </w:r>
    </w:p>
    <w:p w:rsidR="00DD4D33" w:rsidRDefault="006C243F" w:rsidP="00DD4D33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关于接受</w:t>
      </w:r>
      <w:r w:rsidR="00DD4D33" w:rsidRPr="00DD4D33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控股股东江西铜业</w:t>
      </w:r>
    </w:p>
    <w:p w:rsidR="00330912" w:rsidRPr="00B83B88" w:rsidRDefault="00DD4D33" w:rsidP="00DD4D33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 w:rsidRPr="00DD4D33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集团有限公司财务资助的公告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00"/>
      </w:tblGrid>
      <w:tr w:rsidR="00A82958" w:rsidRPr="00B34E35" w:rsidTr="001776F1">
        <w:trPr>
          <w:trHeight w:val="300"/>
        </w:trPr>
        <w:tc>
          <w:tcPr>
            <w:tcW w:w="8100" w:type="dxa"/>
          </w:tcPr>
          <w:p w:rsidR="00A82958" w:rsidRPr="00B34E35" w:rsidRDefault="00A82958" w:rsidP="00452B74">
            <w:pPr>
              <w:spacing w:before="50" w:after="50" w:line="420" w:lineRule="auto"/>
              <w:ind w:firstLineChars="200" w:firstLine="480"/>
              <w:rPr>
                <w:rFonts w:ascii="宋体" w:hAnsi="宋体"/>
                <w:sz w:val="24"/>
              </w:rPr>
            </w:pPr>
            <w:r w:rsidRPr="00B34E35">
              <w:rPr>
                <w:rFonts w:ascii="KaiTi_GB2312" w:eastAsia="KaiTi_GB2312" w:hAnsi="宋体" w:hint="eastAsia"/>
                <w:sz w:val="24"/>
              </w:rPr>
              <w:t>本公司及董事会全体成员保证公告内容的真实、准确和完整，对公告的虚假记载、误导性陈述或者重大遗漏负连带责任。</w:t>
            </w:r>
          </w:p>
        </w:tc>
      </w:tr>
    </w:tbl>
    <w:p w:rsidR="00066AC4" w:rsidRDefault="00066AC4" w:rsidP="004E637A">
      <w:pPr>
        <w:spacing w:beforeLines="50" w:line="360" w:lineRule="auto"/>
        <w:ind w:firstLineChars="200" w:firstLine="480"/>
        <w:contextualSpacing/>
        <w:jc w:val="left"/>
        <w:rPr>
          <w:rFonts w:asciiTheme="majorEastAsia" w:eastAsiaTheme="majorEastAsia" w:hAnsiTheme="majorEastAsia"/>
          <w:sz w:val="24"/>
        </w:rPr>
      </w:pPr>
    </w:p>
    <w:p w:rsidR="00DD4D33" w:rsidRPr="0051360A" w:rsidRDefault="00DD4D33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重要内容提示：</w:t>
      </w:r>
    </w:p>
    <w:p w:rsidR="00DD4D33" w:rsidRPr="0032778E" w:rsidRDefault="00C42315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2019年12月</w:t>
      </w:r>
      <w:r w:rsidR="0068409E">
        <w:rPr>
          <w:rFonts w:ascii="仿宋" w:eastAsia="仿宋" w:hAnsi="仿宋" w:hint="eastAsia"/>
          <w:color w:val="000000"/>
          <w:sz w:val="28"/>
          <w:szCs w:val="28"/>
        </w:rPr>
        <w:t>11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日，江西铜业股份有限公司（以下简称公司）与公司控股股东江西铜业集团有限公司（以下简称江铜集团）签订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了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《财务资助协议》，公司接受江铜集团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提供的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财务资助金额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 xml:space="preserve">      </w:t>
      </w:r>
      <w:r w:rsidR="00093298">
        <w:rPr>
          <w:rFonts w:ascii="仿宋" w:eastAsia="仿宋" w:hAnsi="仿宋" w:hint="eastAsia"/>
          <w:color w:val="000000"/>
          <w:sz w:val="28"/>
          <w:szCs w:val="28"/>
        </w:rPr>
        <w:t>150,000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万元，财务资助费率为</w:t>
      </w:r>
      <w:r w:rsidR="00AE7EE1">
        <w:rPr>
          <w:rFonts w:ascii="仿宋" w:eastAsia="仿宋" w:hAnsi="仿宋" w:hint="eastAsia"/>
          <w:color w:val="000000"/>
          <w:sz w:val="28"/>
          <w:szCs w:val="28"/>
        </w:rPr>
        <w:t>2.35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%</w:t>
      </w:r>
      <w:r w:rsidR="00485E6B" w:rsidRPr="0051360A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全国银行间同业拆借中心</w:t>
      </w:r>
      <w:r w:rsidR="00D5086A">
        <w:rPr>
          <w:rFonts w:ascii="仿宋" w:eastAsia="仿宋" w:hAnsi="仿宋" w:hint="eastAsia"/>
          <w:color w:val="000000"/>
          <w:sz w:val="28"/>
          <w:szCs w:val="28"/>
        </w:rPr>
        <w:t>于2</w:t>
      </w:r>
      <w:r w:rsidR="00D5086A">
        <w:rPr>
          <w:rFonts w:ascii="仿宋" w:eastAsia="仿宋" w:hAnsi="仿宋"/>
          <w:color w:val="000000"/>
          <w:sz w:val="28"/>
          <w:szCs w:val="28"/>
        </w:rPr>
        <w:t>019</w:t>
      </w:r>
      <w:r w:rsidR="00D5086A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11月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公布的贷款市场报价利率</w:t>
      </w:r>
      <w:r w:rsidR="00485E6B" w:rsidRPr="00366F58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="00D5086A" w:rsidRPr="00366F58">
        <w:rPr>
          <w:rFonts w:ascii="仿宋" w:eastAsia="仿宋" w:hAnsi="仿宋" w:hint="eastAsia"/>
          <w:color w:val="000000"/>
          <w:sz w:val="28"/>
          <w:szCs w:val="28"/>
        </w:rPr>
        <w:t>4.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1</w:t>
      </w:r>
      <w:r w:rsidR="00D5086A" w:rsidRPr="00366F58">
        <w:rPr>
          <w:rFonts w:ascii="仿宋" w:eastAsia="仿宋" w:hAnsi="仿宋" w:hint="eastAsia"/>
          <w:color w:val="000000"/>
          <w:sz w:val="28"/>
          <w:szCs w:val="28"/>
        </w:rPr>
        <w:t>5</w:t>
      </w:r>
      <w:r w:rsidR="00366F58" w:rsidRPr="00366F58">
        <w:rPr>
          <w:rFonts w:ascii="仿宋" w:eastAsia="仿宋" w:hAnsi="仿宋" w:hint="eastAsia"/>
          <w:color w:val="000000"/>
          <w:sz w:val="28"/>
          <w:szCs w:val="28"/>
        </w:rPr>
        <w:t>%</w:t>
      </w:r>
      <w:r w:rsidRPr="00366F58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DD4D33" w:rsidRPr="0051360A" w:rsidRDefault="00DD4D33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过去12个月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，公司累计接受江铜集团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提供的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财务资助金额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 xml:space="preserve">     </w:t>
      </w:r>
      <w:r w:rsidR="00B03F0A">
        <w:rPr>
          <w:rFonts w:ascii="仿宋" w:eastAsia="仿宋" w:hAnsi="仿宋"/>
          <w:color w:val="000000"/>
          <w:sz w:val="28"/>
          <w:szCs w:val="28"/>
        </w:rPr>
        <w:t>4</w:t>
      </w:r>
      <w:r w:rsidR="00B03F0A" w:rsidRPr="00B03F0A">
        <w:rPr>
          <w:rFonts w:ascii="仿宋" w:eastAsia="仿宋" w:hAnsi="仿宋"/>
          <w:color w:val="000000"/>
          <w:sz w:val="28"/>
          <w:szCs w:val="28"/>
        </w:rPr>
        <w:t>89,950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万元</w:t>
      </w:r>
      <w:r w:rsidR="0051360A"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093298">
        <w:rPr>
          <w:rFonts w:ascii="仿宋" w:eastAsia="仿宋" w:hAnsi="仿宋" w:hint="eastAsia"/>
          <w:color w:val="000000"/>
          <w:sz w:val="28"/>
          <w:szCs w:val="28"/>
        </w:rPr>
        <w:t>不</w:t>
      </w:r>
      <w:r w:rsidR="0051360A">
        <w:rPr>
          <w:rFonts w:ascii="仿宋" w:eastAsia="仿宋" w:hAnsi="仿宋" w:hint="eastAsia"/>
          <w:color w:val="000000"/>
          <w:sz w:val="28"/>
          <w:szCs w:val="28"/>
        </w:rPr>
        <w:t>含此次公告披露金额）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C42315" w:rsidRPr="0051360A" w:rsidRDefault="00C42315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公司无需对上述财务资助提供任何抵押或担保，且可以根据实际经营和资金情况提前还款或者向江铜集团申请展期。</w:t>
      </w:r>
    </w:p>
    <w:p w:rsidR="00DD4D33" w:rsidRPr="0051360A" w:rsidRDefault="00C42315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根据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《</w:t>
      </w:r>
      <w:r w:rsidR="006F5AB5" w:rsidRPr="006F5AB5">
        <w:rPr>
          <w:rFonts w:ascii="仿宋" w:eastAsia="仿宋" w:hAnsi="仿宋" w:hint="eastAsia"/>
          <w:color w:val="000000"/>
          <w:sz w:val="28"/>
          <w:szCs w:val="28"/>
        </w:rPr>
        <w:t>上海证券交易所上市公司关联交易实施指引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》及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公司于2019年3月14日召开的第八届董事会第八次会议审议通过的《江西铜业股份有限公司信息披露暂缓与豁免管理制度》（公告编号：临2019-010）</w:t>
      </w:r>
      <w:r w:rsidR="004E230A" w:rsidRPr="0051360A">
        <w:rPr>
          <w:rFonts w:ascii="仿宋" w:eastAsia="仿宋" w:hAnsi="仿宋" w:hint="eastAsia"/>
          <w:color w:val="000000"/>
          <w:sz w:val="28"/>
          <w:szCs w:val="28"/>
        </w:rPr>
        <w:t xml:space="preserve"> 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“关联人向公司提供财务资助，财务资助的利率水平不高于中国人民银行规定的同期贷款基准利率，且公司对该项财务资助无相应抵押或担保的，可以豁免按照关联交易的方式进行审议和披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lastRenderedPageBreak/>
        <w:t>露”。</w:t>
      </w:r>
      <w:r w:rsidR="0051360A" w:rsidRPr="0051360A">
        <w:rPr>
          <w:rFonts w:ascii="仿宋" w:eastAsia="仿宋" w:hAnsi="仿宋" w:hint="eastAsia"/>
          <w:color w:val="000000"/>
          <w:sz w:val="28"/>
          <w:szCs w:val="28"/>
        </w:rPr>
        <w:t>本次及前期公司接受江铜集团提供财务资助事项</w:t>
      </w:r>
      <w:r w:rsidR="0051360A">
        <w:rPr>
          <w:rFonts w:ascii="仿宋" w:eastAsia="仿宋" w:hAnsi="仿宋" w:hint="eastAsia"/>
          <w:color w:val="000000"/>
          <w:sz w:val="28"/>
          <w:szCs w:val="28"/>
        </w:rPr>
        <w:t>符合上述规定，</w:t>
      </w:r>
      <w:r w:rsidR="0051360A" w:rsidRPr="0051360A">
        <w:rPr>
          <w:rFonts w:ascii="仿宋" w:eastAsia="仿宋" w:hAnsi="仿宋" w:hint="eastAsia"/>
          <w:color w:val="000000"/>
          <w:sz w:val="28"/>
          <w:szCs w:val="28"/>
        </w:rPr>
        <w:t>可豁免按照关联交易的方式进行审议和披露。</w:t>
      </w:r>
    </w:p>
    <w:p w:rsidR="00861771" w:rsidRPr="0051360A" w:rsidRDefault="00861771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本次交易不构成《</w:t>
      </w:r>
      <w:r w:rsidRPr="0051360A">
        <w:rPr>
          <w:rFonts w:ascii="仿宋" w:eastAsia="仿宋" w:hAnsi="仿宋" w:hint="eastAsia"/>
          <w:sz w:val="28"/>
          <w:szCs w:val="28"/>
        </w:rPr>
        <w:t>上市公司重大资产重组管理办法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》规定的重大资产重组。</w:t>
      </w:r>
    </w:p>
    <w:p w:rsidR="00DD4D33" w:rsidRPr="0051360A" w:rsidRDefault="00DD4D33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861771" w:rsidP="0051360A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b/>
          <w:color w:val="000000"/>
          <w:sz w:val="28"/>
          <w:szCs w:val="28"/>
        </w:rPr>
        <w:t>一、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交易概述</w:t>
      </w:r>
    </w:p>
    <w:p w:rsidR="0037025E" w:rsidRPr="00C608D4" w:rsidRDefault="00861771" w:rsidP="0051360A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2019年12月1</w:t>
      </w:r>
      <w:r w:rsidR="0086121C">
        <w:rPr>
          <w:rFonts w:ascii="仿宋" w:eastAsia="仿宋" w:hAnsi="仿宋" w:hint="eastAsia"/>
          <w:color w:val="000000"/>
          <w:sz w:val="28"/>
          <w:szCs w:val="28"/>
        </w:rPr>
        <w:t>1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日，公司与公司控股股东江铜集团</w:t>
      </w:r>
      <w:r w:rsidR="00093298"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093298" w:rsidRPr="00093298">
        <w:rPr>
          <w:rFonts w:ascii="仿宋" w:eastAsia="仿宋" w:hAnsi="仿宋" w:hint="eastAsia"/>
          <w:color w:val="000000"/>
          <w:sz w:val="28"/>
          <w:szCs w:val="28"/>
        </w:rPr>
        <w:t>截至2019年9月30日，其合计持有公司41.79%股权。</w:t>
      </w:r>
      <w:r w:rsidR="00093298">
        <w:rPr>
          <w:rFonts w:ascii="仿宋" w:eastAsia="仿宋" w:hAnsi="仿宋" w:hint="eastAsia"/>
          <w:color w:val="000000"/>
          <w:sz w:val="28"/>
          <w:szCs w:val="28"/>
        </w:rPr>
        <w:t>）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签订了《财务资助协议》，公司接受江铜集团提供的财务资助金额为</w:t>
      </w:r>
      <w:r w:rsidR="00093298" w:rsidRPr="00093298">
        <w:rPr>
          <w:rFonts w:ascii="仿宋" w:eastAsia="仿宋" w:hAnsi="仿宋"/>
          <w:color w:val="000000"/>
          <w:sz w:val="28"/>
          <w:szCs w:val="28"/>
        </w:rPr>
        <w:t>150,000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万元，财务资助费率为2.</w:t>
      </w:r>
      <w:r w:rsidR="00AE7EE1">
        <w:rPr>
          <w:rFonts w:ascii="仿宋" w:eastAsia="仿宋" w:hAnsi="仿宋" w:hint="eastAsia"/>
          <w:color w:val="000000"/>
          <w:sz w:val="28"/>
          <w:szCs w:val="28"/>
        </w:rPr>
        <w:t>35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%</w:t>
      </w:r>
      <w:r w:rsidR="00C608D4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全国银行间同业拆借中心</w:t>
      </w:r>
      <w:r w:rsidR="00E45AD8">
        <w:rPr>
          <w:rFonts w:ascii="仿宋" w:eastAsia="仿宋" w:hAnsi="仿宋" w:hint="eastAsia"/>
          <w:color w:val="000000"/>
          <w:sz w:val="28"/>
          <w:szCs w:val="28"/>
        </w:rPr>
        <w:t>于2</w:t>
      </w:r>
      <w:r w:rsidR="00E45AD8">
        <w:rPr>
          <w:rFonts w:ascii="仿宋" w:eastAsia="仿宋" w:hAnsi="仿宋"/>
          <w:color w:val="000000"/>
          <w:sz w:val="28"/>
          <w:szCs w:val="28"/>
        </w:rPr>
        <w:t>019</w:t>
      </w:r>
      <w:r w:rsidR="00E45AD8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11</w:t>
      </w:r>
      <w:r w:rsidR="00E45AD8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公布的贷款市场报价利率</w:t>
      </w:r>
      <w:r w:rsidR="00C608D4" w:rsidRPr="00366F58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="00366F58" w:rsidRPr="00366F58">
        <w:rPr>
          <w:rFonts w:ascii="仿宋" w:eastAsia="仿宋" w:hAnsi="仿宋" w:hint="eastAsia"/>
          <w:color w:val="000000"/>
          <w:sz w:val="28"/>
          <w:szCs w:val="28"/>
        </w:rPr>
        <w:t>4.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1</w:t>
      </w:r>
      <w:r w:rsidR="00366F58" w:rsidRPr="00366F58">
        <w:rPr>
          <w:rFonts w:ascii="仿宋" w:eastAsia="仿宋" w:hAnsi="仿宋" w:hint="eastAsia"/>
          <w:color w:val="000000"/>
          <w:sz w:val="28"/>
          <w:szCs w:val="28"/>
        </w:rPr>
        <w:t>5%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（原</w:t>
      </w:r>
      <w:r w:rsidR="00063D5A" w:rsidRPr="0051360A">
        <w:rPr>
          <w:rFonts w:ascii="仿宋" w:eastAsia="仿宋" w:hAnsi="仿宋" w:hint="eastAsia"/>
          <w:color w:val="000000"/>
          <w:sz w:val="28"/>
          <w:szCs w:val="28"/>
        </w:rPr>
        <w:t>中国人民银行规定的同期贷款基准利率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063D5A" w:rsidRPr="00685C4A">
        <w:rPr>
          <w:rFonts w:ascii="仿宋" w:eastAsia="仿宋" w:hAnsi="仿宋" w:hint="eastAsia"/>
          <w:color w:val="000000"/>
          <w:sz w:val="28"/>
          <w:szCs w:val="28"/>
        </w:rPr>
        <w:t>根据《中国人民银行公告〔2019〕第15号》，自2019年8月20日起，中国人民银行已经授权全国银行间同业拆借中心于每月20日（遇节假日顺延）9时30分公布贷款市场报价利率（LPR）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C608D4" w:rsidRPr="00366F58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DD4D33" w:rsidRDefault="00861771" w:rsidP="0051360A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根据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《</w:t>
      </w:r>
      <w:r w:rsidR="006F5AB5" w:rsidRPr="006F5AB5">
        <w:rPr>
          <w:rFonts w:ascii="仿宋" w:eastAsia="仿宋" w:hAnsi="仿宋" w:hint="eastAsia"/>
          <w:color w:val="000000"/>
          <w:sz w:val="28"/>
          <w:szCs w:val="28"/>
        </w:rPr>
        <w:t>上海证券交易所上市公司关联交易实施指引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》及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公司于2019年3月14日召开的第八届董事会第八次会议审议通过的《江西铜业股份有限公司信息披露暂缓与豁免管理制度》（公告编号：临2019-010）</w:t>
      </w:r>
      <w:r w:rsidR="004E230A" w:rsidRPr="0051360A">
        <w:rPr>
          <w:rFonts w:ascii="仿宋" w:eastAsia="仿宋" w:hAnsi="仿宋" w:hint="eastAsia"/>
          <w:color w:val="000000"/>
          <w:sz w:val="28"/>
          <w:szCs w:val="28"/>
        </w:rPr>
        <w:t xml:space="preserve"> 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“关联人向公司提供财务资助，财务资助的利率水平不高于中国人民银行规定的同期贷款基准利率，且公司对该项财务资助无相应抵押或担保的，可以豁免按照关联交易的方式进行审议和披露”。本次及前期公司接受江铜集团</w:t>
      </w:r>
      <w:r w:rsidR="005A70D5" w:rsidRPr="0051360A">
        <w:rPr>
          <w:rFonts w:ascii="仿宋" w:eastAsia="仿宋" w:hAnsi="仿宋" w:hint="eastAsia"/>
          <w:color w:val="000000"/>
          <w:sz w:val="28"/>
          <w:szCs w:val="28"/>
        </w:rPr>
        <w:t>提供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财务资助事项</w:t>
      </w:r>
      <w:r w:rsidR="0051360A">
        <w:rPr>
          <w:rFonts w:ascii="仿宋" w:eastAsia="仿宋" w:hAnsi="仿宋" w:hint="eastAsia"/>
          <w:color w:val="000000"/>
          <w:sz w:val="28"/>
          <w:szCs w:val="28"/>
        </w:rPr>
        <w:t>符合上述规定，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可豁免按照关联交易的方式进行审议和披露。</w:t>
      </w:r>
    </w:p>
    <w:p w:rsidR="00C608D4" w:rsidRDefault="00C608D4" w:rsidP="00C608D4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C608D4">
        <w:rPr>
          <w:rFonts w:ascii="仿宋" w:eastAsia="仿宋" w:hAnsi="仿宋" w:hint="eastAsia"/>
          <w:color w:val="000000"/>
          <w:sz w:val="28"/>
          <w:szCs w:val="28"/>
        </w:rPr>
        <w:t>本次交易不构成《上市公司重大资产重组管理办法》规定的重大资产重组。</w:t>
      </w:r>
    </w:p>
    <w:p w:rsidR="00781009" w:rsidRDefault="00093298" w:rsidP="004E637A">
      <w:pPr>
        <w:spacing w:beforeLines="50" w:afterLines="50" w:line="540" w:lineRule="exact"/>
        <w:ind w:rightChars="12" w:right="25"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lastRenderedPageBreak/>
        <w:t>二、</w:t>
      </w:r>
      <w:r w:rsidRPr="00093298">
        <w:rPr>
          <w:rFonts w:ascii="仿宋" w:eastAsia="仿宋" w:hAnsi="仿宋" w:hint="eastAsia"/>
          <w:b/>
          <w:color w:val="000000"/>
          <w:sz w:val="28"/>
          <w:szCs w:val="28"/>
        </w:rPr>
        <w:t>关联方关系介绍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（一）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企业名称：江西铜业集团有限公司</w:t>
      </w:r>
    </w:p>
    <w:p w:rsidR="004E637A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 w:hint="eastAsia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（二）</w:t>
      </w:r>
      <w:r w:rsidR="00746FD6">
        <w:rPr>
          <w:rFonts w:ascii="仿宋" w:eastAsia="仿宋" w:hAnsi="仿宋" w:hint="eastAsia"/>
          <w:color w:val="000000"/>
          <w:sz w:val="28"/>
          <w:szCs w:val="28"/>
        </w:rPr>
        <w:t>实际控制人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：江西省国有资产监督管理委员会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（三）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住所地：江西省贵溪市冶金大道</w:t>
      </w:r>
      <w:r w:rsidRPr="00093298">
        <w:rPr>
          <w:rFonts w:ascii="仿宋" w:eastAsia="仿宋" w:hAnsi="仿宋"/>
          <w:color w:val="000000"/>
          <w:sz w:val="28"/>
          <w:szCs w:val="28"/>
        </w:rPr>
        <w:t>15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号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（四）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法定代表人：龙子平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（五）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注册资本：人民币672</w:t>
      </w:r>
      <w:r w:rsidRPr="00093298">
        <w:rPr>
          <w:rFonts w:ascii="仿宋" w:eastAsia="仿宋" w:hAnsi="仿宋"/>
          <w:color w:val="000000"/>
          <w:sz w:val="28"/>
          <w:szCs w:val="28"/>
        </w:rPr>
        <w:t>,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964.61万元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（六）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主营业务：有色金属矿、非金属矿、有色金属冶炼压延加工产品、承包境外有色冶金行业工程及境内国际招标工程，上述境外工程所需设备、材料出口，对外派遣实施上述境外工程所需劳务人员等。</w:t>
      </w:r>
    </w:p>
    <w:p w:rsidR="00093298" w:rsidRPr="0032778E" w:rsidRDefault="00ED48E3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(七)</w:t>
      </w:r>
      <w:r w:rsidRPr="00ED48E3">
        <w:rPr>
          <w:rFonts w:hint="eastAsia"/>
        </w:rPr>
        <w:t xml:space="preserve"> 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截至2018年末，江铜集团经审计的总资产为人民币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12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300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383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万元；净资产为人民币5</w:t>
      </w:r>
      <w:r>
        <w:rPr>
          <w:rFonts w:ascii="仿宋" w:eastAsia="仿宋" w:hAnsi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338</w:t>
      </w:r>
      <w:r>
        <w:rPr>
          <w:rFonts w:ascii="仿宋" w:eastAsia="仿宋" w:hAnsi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180万元，营业收入为人民币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21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603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291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万元；净利润为人民币189</w:t>
      </w:r>
      <w:r>
        <w:rPr>
          <w:rFonts w:ascii="仿宋" w:eastAsia="仿宋" w:hAnsi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833万元</w:t>
      </w:r>
      <w:r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485E6B" w:rsidRPr="0051360A" w:rsidRDefault="00093298" w:rsidP="0051360A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三</w:t>
      </w:r>
      <w:r w:rsidR="00485E6B" w:rsidRPr="0051360A">
        <w:rPr>
          <w:rFonts w:ascii="仿宋" w:eastAsia="仿宋" w:hAnsi="仿宋" w:hint="eastAsia"/>
          <w:b/>
          <w:color w:val="000000"/>
          <w:sz w:val="28"/>
          <w:szCs w:val="28"/>
        </w:rPr>
        <w:t>、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交易的主要内容和履约安排</w:t>
      </w:r>
    </w:p>
    <w:p w:rsid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甲方（资金提供方）：江西铜业集团有限公司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乙方（借款方）：江西铜业股份有限公司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一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财务资助币种和金额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人民币（大写）</w:t>
      </w:r>
      <w:r w:rsidR="00F94C26">
        <w:rPr>
          <w:rFonts w:ascii="仿宋" w:eastAsia="仿宋" w:hAnsi="仿宋" w:hint="eastAsia"/>
          <w:color w:val="000000"/>
          <w:sz w:val="28"/>
          <w:szCs w:val="28"/>
        </w:rPr>
        <w:t>壹拾伍亿元整。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二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财务资助用途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此项财务资助只能用于补充营运资金或归还银行借款。未经甲方书面同意，乙方不得挪作他用。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三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财务资助期限</w:t>
      </w:r>
      <w:r w:rsidR="0037025E" w:rsidRPr="0051360A">
        <w:rPr>
          <w:rFonts w:ascii="仿宋" w:eastAsia="仿宋" w:hAnsi="仿宋"/>
          <w:color w:val="000000"/>
          <w:sz w:val="28"/>
          <w:szCs w:val="28"/>
        </w:rPr>
        <w:t>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财务资助期限为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1</w:t>
      </w:r>
      <w:r w:rsidR="00E55C81">
        <w:rPr>
          <w:rFonts w:ascii="仿宋" w:eastAsia="仿宋" w:hAnsi="仿宋" w:hint="eastAsia"/>
          <w:color w:val="000000"/>
          <w:sz w:val="28"/>
          <w:szCs w:val="28"/>
        </w:rPr>
        <w:t>76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天，即自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2019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12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11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日起至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2020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6</w:t>
      </w:r>
      <w:r w:rsidRPr="0051360A">
        <w:rPr>
          <w:rFonts w:ascii="仿宋" w:eastAsia="仿宋" w:hAnsi="仿宋"/>
          <w:color w:val="000000"/>
          <w:sz w:val="28"/>
          <w:szCs w:val="28"/>
        </w:rPr>
        <w:t xml:space="preserve">  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E55C81">
        <w:rPr>
          <w:rFonts w:ascii="仿宋" w:eastAsia="仿宋" w:hAnsi="仿宋" w:hint="eastAsia"/>
          <w:color w:val="000000"/>
          <w:sz w:val="28"/>
          <w:szCs w:val="28"/>
        </w:rPr>
        <w:t>4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日止。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lastRenderedPageBreak/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四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费用标准</w:t>
      </w:r>
      <w:r w:rsidR="0037025E" w:rsidRPr="0051360A">
        <w:rPr>
          <w:rFonts w:ascii="仿宋" w:eastAsia="仿宋" w:hAnsi="仿宋"/>
          <w:color w:val="000000"/>
          <w:sz w:val="28"/>
          <w:szCs w:val="28"/>
        </w:rPr>
        <w:t xml:space="preserve"> </w:t>
      </w:r>
    </w:p>
    <w:p w:rsidR="0037025E" w:rsidRPr="0051360A" w:rsidRDefault="0037025E" w:rsidP="00746FD6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1</w:t>
      </w:r>
      <w:r w:rsidR="00E02CA0">
        <w:rPr>
          <w:rFonts w:ascii="仿宋" w:eastAsia="仿宋" w:hAnsi="仿宋" w:hint="eastAsia"/>
          <w:color w:val="000000"/>
          <w:sz w:val="28"/>
          <w:szCs w:val="28"/>
        </w:rPr>
        <w:t>、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费率：</w:t>
      </w:r>
      <w:r w:rsidR="0086121C">
        <w:rPr>
          <w:rFonts w:ascii="仿宋" w:eastAsia="仿宋" w:hAnsi="仿宋" w:hint="eastAsia"/>
          <w:color w:val="000000"/>
          <w:sz w:val="28"/>
          <w:szCs w:val="28"/>
        </w:rPr>
        <w:t>按甲方最新一期</w:t>
      </w:r>
      <w:r w:rsidR="00AA5D6E" w:rsidRPr="00C83DB9">
        <w:rPr>
          <w:rFonts w:ascii="仿宋" w:eastAsia="仿宋" w:hAnsi="仿宋" w:hint="eastAsia"/>
          <w:color w:val="000000"/>
          <w:sz w:val="28"/>
          <w:szCs w:val="28"/>
        </w:rPr>
        <w:t>超短期融资</w:t>
      </w:r>
      <w:proofErr w:type="gramStart"/>
      <w:r w:rsidR="00AA5D6E" w:rsidRPr="00C83DB9">
        <w:rPr>
          <w:rFonts w:ascii="仿宋" w:eastAsia="仿宋" w:hAnsi="仿宋" w:hint="eastAsia"/>
          <w:color w:val="000000"/>
          <w:sz w:val="28"/>
          <w:szCs w:val="28"/>
        </w:rPr>
        <w:t>券</w:t>
      </w:r>
      <w:proofErr w:type="gramEnd"/>
      <w:r w:rsidR="0086121C">
        <w:rPr>
          <w:rFonts w:ascii="仿宋" w:eastAsia="仿宋" w:hAnsi="仿宋" w:hint="eastAsia"/>
          <w:color w:val="000000"/>
          <w:sz w:val="28"/>
          <w:szCs w:val="28"/>
        </w:rPr>
        <w:t>的票面利率执行</w:t>
      </w:r>
      <w:r w:rsidRPr="0086121C">
        <w:rPr>
          <w:rFonts w:ascii="仿宋" w:eastAsia="仿宋" w:hAnsi="仿宋" w:hint="eastAsia"/>
          <w:color w:val="000000"/>
          <w:sz w:val="28"/>
          <w:szCs w:val="28"/>
        </w:rPr>
        <w:t>，且利率水平不高于</w:t>
      </w:r>
      <w:r w:rsidR="00D5086A" w:rsidRPr="0086121C">
        <w:rPr>
          <w:rFonts w:ascii="仿宋" w:eastAsia="仿宋" w:hAnsi="仿宋" w:hint="eastAsia"/>
          <w:color w:val="000000"/>
          <w:sz w:val="28"/>
          <w:szCs w:val="28"/>
        </w:rPr>
        <w:t>同期</w:t>
      </w:r>
      <w:r w:rsidR="00FB532E" w:rsidRPr="0086121C">
        <w:rPr>
          <w:rFonts w:ascii="仿宋" w:eastAsia="仿宋" w:hAnsi="仿宋" w:hint="eastAsia"/>
          <w:color w:val="000000"/>
          <w:sz w:val="28"/>
          <w:szCs w:val="28"/>
        </w:rPr>
        <w:t>全国银行间同业拆借中心公布的贷款市场报价利率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,</w:t>
      </w:r>
      <w:r w:rsidR="0086121C" w:rsidRPr="0086121C">
        <w:rPr>
          <w:rFonts w:hint="eastAsia"/>
        </w:rPr>
        <w:t xml:space="preserve"> 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该项财务资助费率为2.35%</w:t>
      </w:r>
      <w:r w:rsidRPr="0086121C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37025E" w:rsidRPr="0051360A" w:rsidRDefault="00E02CA0" w:rsidP="00746FD6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2、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计费天数：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计费天数为收款日至到期还款日。</w:t>
      </w:r>
    </w:p>
    <w:p w:rsidR="0037025E" w:rsidRPr="0086121C" w:rsidRDefault="00E02CA0" w:rsidP="00746FD6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3、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付费：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乙方须按照此项财务资助来源的付息方式按时付费，且无需支付其他费用。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五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其他</w:t>
      </w:r>
    </w:p>
    <w:p w:rsidR="00DD4D33" w:rsidRDefault="0037025E" w:rsidP="0051360A">
      <w:pPr>
        <w:adjustRightInd w:val="0"/>
        <w:spacing w:line="560" w:lineRule="exact"/>
        <w:ind w:firstLineChars="200" w:firstLine="560"/>
        <w:contextualSpacing/>
        <w:jc w:val="left"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乙方无需对该项财务资助提供任何抵押或担保，且可以根据实际经营和资金情况提前还款或者向甲方申请展期。</w:t>
      </w:r>
    </w:p>
    <w:p w:rsidR="0032778E" w:rsidRPr="0051360A" w:rsidRDefault="0032778E" w:rsidP="0051360A">
      <w:pPr>
        <w:adjustRightInd w:val="0"/>
        <w:spacing w:line="560" w:lineRule="exact"/>
        <w:ind w:firstLineChars="200" w:firstLine="560"/>
        <w:contextualSpacing/>
        <w:jc w:val="left"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093298" w:rsidP="008F5DE6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四</w:t>
      </w:r>
      <w:r w:rsidR="0037025E" w:rsidRPr="0051360A">
        <w:rPr>
          <w:rFonts w:ascii="仿宋" w:eastAsia="仿宋" w:hAnsi="仿宋" w:hint="eastAsia"/>
          <w:b/>
          <w:color w:val="000000"/>
          <w:sz w:val="28"/>
          <w:szCs w:val="28"/>
        </w:rPr>
        <w:t>、该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交易的目的以及对上市公司的影响</w:t>
      </w:r>
    </w:p>
    <w:p w:rsidR="00DD4D33" w:rsidRDefault="0051360A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本次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交易主要是</w:t>
      </w:r>
      <w:r w:rsidRPr="0051360A">
        <w:rPr>
          <w:rFonts w:ascii="仿宋" w:eastAsia="仿宋" w:hAnsi="仿宋" w:hint="eastAsia"/>
          <w:sz w:val="28"/>
          <w:szCs w:val="28"/>
        </w:rPr>
        <w:t>为了满足公司发展及</w:t>
      </w:r>
      <w:r w:rsidR="00BF57A5">
        <w:rPr>
          <w:rFonts w:ascii="仿宋" w:eastAsia="仿宋" w:hAnsi="仿宋" w:hint="eastAsia"/>
          <w:sz w:val="28"/>
          <w:szCs w:val="28"/>
        </w:rPr>
        <w:t>流动</w:t>
      </w:r>
      <w:r w:rsidRPr="0051360A">
        <w:rPr>
          <w:rFonts w:ascii="仿宋" w:eastAsia="仿宋" w:hAnsi="仿宋" w:hint="eastAsia"/>
          <w:sz w:val="28"/>
          <w:szCs w:val="28"/>
        </w:rPr>
        <w:t>资金需求，</w:t>
      </w:r>
      <w:r w:rsidR="00BF57A5">
        <w:rPr>
          <w:rFonts w:ascii="仿宋" w:eastAsia="仿宋" w:hAnsi="仿宋" w:hint="eastAsia"/>
          <w:sz w:val="28"/>
          <w:szCs w:val="28"/>
        </w:rPr>
        <w:t>可有效</w:t>
      </w:r>
      <w:r w:rsidRPr="0051360A">
        <w:rPr>
          <w:rFonts w:ascii="仿宋" w:eastAsia="仿宋" w:hAnsi="仿宋" w:hint="eastAsia"/>
          <w:sz w:val="28"/>
          <w:szCs w:val="28"/>
        </w:rPr>
        <w:t>降低</w:t>
      </w:r>
      <w:r w:rsidR="00BF57A5">
        <w:rPr>
          <w:rFonts w:ascii="仿宋" w:eastAsia="仿宋" w:hAnsi="仿宋" w:hint="eastAsia"/>
          <w:sz w:val="28"/>
          <w:szCs w:val="28"/>
        </w:rPr>
        <w:t>公司</w:t>
      </w:r>
      <w:r w:rsidRPr="0051360A">
        <w:rPr>
          <w:rFonts w:ascii="仿宋" w:eastAsia="仿宋" w:hAnsi="仿宋" w:hint="eastAsia"/>
          <w:sz w:val="28"/>
          <w:szCs w:val="28"/>
        </w:rPr>
        <w:t>融资成本，</w:t>
      </w:r>
      <w:r w:rsidR="00BF57A5">
        <w:rPr>
          <w:rFonts w:ascii="仿宋" w:eastAsia="仿宋" w:hAnsi="仿宋" w:hint="eastAsia"/>
          <w:sz w:val="28"/>
          <w:szCs w:val="28"/>
        </w:rPr>
        <w:t>《财务资助协议》的签订有利于</w:t>
      </w:r>
      <w:r w:rsidRPr="0051360A">
        <w:rPr>
          <w:rFonts w:ascii="仿宋" w:eastAsia="仿宋" w:hAnsi="仿宋" w:hint="eastAsia"/>
          <w:sz w:val="28"/>
          <w:szCs w:val="28"/>
        </w:rPr>
        <w:t>公司和全体股东</w:t>
      </w:r>
      <w:r w:rsidRPr="0051360A">
        <w:rPr>
          <w:rFonts w:ascii="仿宋" w:eastAsia="仿宋" w:hAnsi="仿宋"/>
          <w:sz w:val="28"/>
          <w:szCs w:val="28"/>
        </w:rPr>
        <w:t>,</w:t>
      </w:r>
      <w:r w:rsidRPr="0051360A">
        <w:rPr>
          <w:rFonts w:ascii="仿宋" w:eastAsia="仿宋" w:hAnsi="仿宋" w:hint="eastAsia"/>
          <w:sz w:val="28"/>
          <w:szCs w:val="28"/>
        </w:rPr>
        <w:t>符合公司及其股东的整体利益。</w:t>
      </w:r>
    </w:p>
    <w:p w:rsidR="0032778E" w:rsidRPr="0051360A" w:rsidRDefault="0032778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51360A" w:rsidRPr="0051360A" w:rsidRDefault="00093298" w:rsidP="008F5DE6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五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、</w:t>
      </w:r>
      <w:r w:rsidR="0051360A" w:rsidRPr="0051360A">
        <w:rPr>
          <w:rFonts w:ascii="仿宋" w:eastAsia="仿宋" w:hAnsi="仿宋" w:hint="eastAsia"/>
          <w:b/>
          <w:color w:val="000000"/>
          <w:sz w:val="28"/>
          <w:szCs w:val="28"/>
        </w:rPr>
        <w:t>过去12个月</w:t>
      </w:r>
      <w:r w:rsidR="00C608D4">
        <w:rPr>
          <w:rFonts w:ascii="仿宋" w:eastAsia="仿宋" w:hAnsi="仿宋" w:hint="eastAsia"/>
          <w:b/>
          <w:color w:val="000000"/>
          <w:sz w:val="28"/>
          <w:szCs w:val="28"/>
        </w:rPr>
        <w:t>公司累计接受</w:t>
      </w:r>
      <w:r w:rsidR="0051360A" w:rsidRPr="0051360A">
        <w:rPr>
          <w:rFonts w:ascii="仿宋" w:eastAsia="仿宋" w:hAnsi="仿宋" w:hint="eastAsia"/>
          <w:b/>
          <w:color w:val="000000"/>
          <w:sz w:val="28"/>
          <w:szCs w:val="28"/>
        </w:rPr>
        <w:t>江铜集团提供财务资助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情况</w:t>
      </w:r>
    </w:p>
    <w:p w:rsidR="00366F58" w:rsidRDefault="0051360A" w:rsidP="0032778E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过去</w:t>
      </w:r>
      <w:r w:rsidRPr="0051360A">
        <w:rPr>
          <w:rFonts w:ascii="仿宋" w:eastAsia="仿宋" w:hAnsi="仿宋"/>
          <w:sz w:val="28"/>
          <w:szCs w:val="28"/>
        </w:rPr>
        <w:t>12</w:t>
      </w:r>
      <w:r w:rsidRPr="0051360A">
        <w:rPr>
          <w:rFonts w:ascii="仿宋" w:eastAsia="仿宋" w:hAnsi="仿宋" w:hint="eastAsia"/>
          <w:sz w:val="28"/>
          <w:szCs w:val="28"/>
        </w:rPr>
        <w:t>个月，公司累计接受江铜集团提供的财务资助金额为</w:t>
      </w:r>
      <w:r w:rsidRPr="0051360A">
        <w:rPr>
          <w:rFonts w:ascii="仿宋" w:eastAsia="仿宋" w:hAnsi="仿宋"/>
          <w:sz w:val="28"/>
          <w:szCs w:val="28"/>
        </w:rPr>
        <w:t xml:space="preserve">     </w:t>
      </w:r>
      <w:r w:rsidR="00B03F0A">
        <w:rPr>
          <w:rFonts w:ascii="仿宋" w:eastAsia="仿宋" w:hAnsi="仿宋"/>
          <w:color w:val="000000"/>
          <w:sz w:val="28"/>
          <w:szCs w:val="28"/>
        </w:rPr>
        <w:t>4</w:t>
      </w:r>
      <w:r w:rsidR="00B03F0A" w:rsidRPr="00B03F0A">
        <w:rPr>
          <w:rFonts w:ascii="仿宋" w:eastAsia="仿宋" w:hAnsi="仿宋"/>
          <w:color w:val="000000"/>
          <w:sz w:val="28"/>
          <w:szCs w:val="28"/>
        </w:rPr>
        <w:t>89,950</w:t>
      </w:r>
      <w:r w:rsidRPr="0051360A">
        <w:rPr>
          <w:rFonts w:ascii="仿宋" w:eastAsia="仿宋" w:hAnsi="仿宋" w:hint="eastAsia"/>
          <w:sz w:val="28"/>
          <w:szCs w:val="28"/>
        </w:rPr>
        <w:t>万元。</w:t>
      </w:r>
      <w:r w:rsidR="00366F58">
        <w:rPr>
          <w:rFonts w:ascii="仿宋" w:eastAsia="仿宋" w:hAnsi="仿宋" w:hint="eastAsia"/>
          <w:sz w:val="28"/>
          <w:szCs w:val="28"/>
        </w:rPr>
        <w:t>具体如下表所示：</w:t>
      </w:r>
    </w:p>
    <w:tbl>
      <w:tblPr>
        <w:tblStyle w:val="ae"/>
        <w:tblW w:w="9215" w:type="dxa"/>
        <w:tblInd w:w="-318" w:type="dxa"/>
        <w:tblLayout w:type="fixed"/>
        <w:tblLook w:val="04A0"/>
      </w:tblPr>
      <w:tblGrid>
        <w:gridCol w:w="852"/>
        <w:gridCol w:w="2835"/>
        <w:gridCol w:w="2126"/>
        <w:gridCol w:w="1701"/>
        <w:gridCol w:w="1701"/>
      </w:tblGrid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366F58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财务资助金额（万元）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366F58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财务资助费率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366F58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借款日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366F58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到期日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150,000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2.790%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6-17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2019-12-11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50,000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2.880%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6-25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2020-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3-20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26,750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2.880%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7-23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2020-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4-14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100,000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3.690%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7-25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2022-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7-24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76,761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2.720%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2020-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6,439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2.720%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2020-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32778E" w:rsidRPr="00446DE3" w:rsidTr="0032778E">
        <w:tc>
          <w:tcPr>
            <w:tcW w:w="852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2835" w:type="dxa"/>
            <w:vAlign w:val="center"/>
          </w:tcPr>
          <w:p w:rsidR="0032778E" w:rsidRPr="0032778E" w:rsidRDefault="0032778E" w:rsidP="00366F58">
            <w:pPr>
              <w:widowControl/>
              <w:jc w:val="righ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80,000</w:t>
            </w:r>
          </w:p>
        </w:tc>
        <w:tc>
          <w:tcPr>
            <w:tcW w:w="2126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3.600%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2019-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9-27</w:t>
            </w:r>
          </w:p>
        </w:tc>
        <w:tc>
          <w:tcPr>
            <w:tcW w:w="1701" w:type="dxa"/>
            <w:vAlign w:val="center"/>
          </w:tcPr>
          <w:p w:rsidR="0032778E" w:rsidRPr="0032778E" w:rsidRDefault="0032778E" w:rsidP="00EF2CBC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2022-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0</w:t>
            </w:r>
            <w:r w:rsidRPr="0032778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9-26</w:t>
            </w:r>
          </w:p>
        </w:tc>
      </w:tr>
    </w:tbl>
    <w:p w:rsidR="00366F58" w:rsidRPr="0051360A" w:rsidRDefault="00366F58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8F5DE6" w:rsidP="0051360A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</w:t>
      </w:r>
      <w:r w:rsidR="00DD4D33" w:rsidRPr="0051360A">
        <w:rPr>
          <w:rFonts w:ascii="仿宋" w:eastAsia="仿宋" w:hAnsi="仿宋" w:hint="eastAsia"/>
          <w:b/>
          <w:sz w:val="28"/>
          <w:szCs w:val="28"/>
        </w:rPr>
        <w:t>、上网公告附件</w:t>
      </w:r>
    </w:p>
    <w:p w:rsidR="00DD4D33" w:rsidRPr="0051360A" w:rsidRDefault="0051360A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《财务资助协议》</w:t>
      </w:r>
    </w:p>
    <w:p w:rsidR="00DD4D33" w:rsidRPr="0051360A" w:rsidRDefault="00DD4D33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DD4D33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特此公告。</w:t>
      </w:r>
    </w:p>
    <w:p w:rsidR="00781009" w:rsidRDefault="00781009" w:rsidP="004E637A">
      <w:pPr>
        <w:spacing w:beforeLines="50" w:afterLines="50" w:line="560" w:lineRule="exact"/>
        <w:ind w:right="28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</w:p>
    <w:p w:rsidR="00781009" w:rsidRDefault="000E6B8A" w:rsidP="004E637A">
      <w:pPr>
        <w:spacing w:beforeLines="50" w:afterLines="50" w:line="560" w:lineRule="exact"/>
        <w:ind w:right="28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江西铜业股份有限公司</w:t>
      </w:r>
    </w:p>
    <w:p w:rsidR="00781009" w:rsidRDefault="000E6B8A" w:rsidP="004E637A">
      <w:pPr>
        <w:spacing w:beforeLines="50" w:afterLines="50" w:line="560" w:lineRule="exact"/>
        <w:ind w:right="11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董事会</w:t>
      </w:r>
    </w:p>
    <w:p w:rsidR="00781009" w:rsidRDefault="00066AC4" w:rsidP="004E637A">
      <w:pPr>
        <w:spacing w:beforeLines="50" w:afterLines="50" w:line="560" w:lineRule="exact"/>
        <w:ind w:right="5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063D5A">
        <w:rPr>
          <w:rFonts w:ascii="仿宋" w:eastAsia="仿宋" w:hAnsi="仿宋" w:hint="eastAsia"/>
          <w:sz w:val="28"/>
          <w:szCs w:val="28"/>
        </w:rPr>
        <w:t>2019</w:t>
      </w:r>
      <w:r w:rsidR="000E6B8A" w:rsidRPr="00063D5A">
        <w:rPr>
          <w:rFonts w:ascii="仿宋" w:eastAsia="仿宋" w:hAnsi="仿宋" w:hint="eastAsia"/>
          <w:sz w:val="28"/>
          <w:szCs w:val="28"/>
        </w:rPr>
        <w:t>年</w:t>
      </w:r>
      <w:r w:rsidR="00D34BEB" w:rsidRPr="00063D5A">
        <w:rPr>
          <w:rFonts w:ascii="仿宋" w:eastAsia="仿宋" w:hAnsi="仿宋" w:hint="eastAsia"/>
          <w:sz w:val="28"/>
          <w:szCs w:val="28"/>
        </w:rPr>
        <w:t>1</w:t>
      </w:r>
      <w:r w:rsidR="004E230A" w:rsidRPr="00063D5A">
        <w:rPr>
          <w:rFonts w:ascii="仿宋" w:eastAsia="仿宋" w:hAnsi="仿宋" w:hint="eastAsia"/>
          <w:sz w:val="28"/>
          <w:szCs w:val="28"/>
        </w:rPr>
        <w:t>2</w:t>
      </w:r>
      <w:r w:rsidR="000E6B8A" w:rsidRPr="00063D5A">
        <w:rPr>
          <w:rFonts w:ascii="仿宋" w:eastAsia="仿宋" w:hAnsi="仿宋" w:hint="eastAsia"/>
          <w:sz w:val="28"/>
          <w:szCs w:val="28"/>
        </w:rPr>
        <w:t>月</w:t>
      </w:r>
      <w:r w:rsidR="006868BD" w:rsidRPr="00063D5A">
        <w:rPr>
          <w:rFonts w:ascii="仿宋" w:eastAsia="仿宋" w:hAnsi="仿宋" w:hint="eastAsia"/>
          <w:sz w:val="28"/>
          <w:szCs w:val="28"/>
        </w:rPr>
        <w:t>1</w:t>
      </w:r>
      <w:r w:rsidR="006868BD">
        <w:rPr>
          <w:rFonts w:ascii="仿宋" w:eastAsia="仿宋" w:hAnsi="仿宋" w:hint="eastAsia"/>
          <w:sz w:val="28"/>
          <w:szCs w:val="28"/>
        </w:rPr>
        <w:t>2</w:t>
      </w:r>
      <w:r w:rsidR="000E6B8A" w:rsidRPr="00063D5A">
        <w:rPr>
          <w:rFonts w:ascii="仿宋" w:eastAsia="仿宋" w:hAnsi="仿宋" w:hint="eastAsia"/>
          <w:sz w:val="28"/>
          <w:szCs w:val="28"/>
        </w:rPr>
        <w:t>日</w:t>
      </w:r>
    </w:p>
    <w:p w:rsidR="00AD2908" w:rsidRDefault="00AD2908" w:rsidP="00752146">
      <w:pPr>
        <w:spacing w:beforeLines="50" w:afterLines="50" w:line="360" w:lineRule="auto"/>
        <w:ind w:right="5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</w:p>
    <w:sectPr w:rsidR="00AD2908" w:rsidSect="001776F1">
      <w:headerReference w:type="default" r:id="rId8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857C01" w15:done="0"/>
  <w15:commentEx w15:paraId="3155B15C" w15:done="0"/>
  <w15:commentEx w15:paraId="7B52348F" w15:done="0"/>
  <w15:commentEx w15:paraId="5980A79F" w15:done="0"/>
  <w15:commentEx w15:paraId="5E111A3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47B" w:rsidRDefault="0034147B" w:rsidP="00E926A3">
      <w:r>
        <w:separator/>
      </w:r>
    </w:p>
  </w:endnote>
  <w:endnote w:type="continuationSeparator" w:id="0">
    <w:p w:rsidR="0034147B" w:rsidRDefault="0034147B" w:rsidP="00E92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MS Gothic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47B" w:rsidRDefault="0034147B" w:rsidP="00E926A3">
      <w:r>
        <w:separator/>
      </w:r>
    </w:p>
  </w:footnote>
  <w:footnote w:type="continuationSeparator" w:id="0">
    <w:p w:rsidR="0034147B" w:rsidRDefault="0034147B" w:rsidP="00E92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6F1" w:rsidRDefault="001776F1">
    <w:pPr>
      <w:pStyle w:val="a3"/>
      <w:pBdr>
        <w:bottom w:val="none" w:sz="0" w:space="0" w:color="auto"/>
      </w:pBdr>
      <w:wordWrap w:val="0"/>
      <w:jc w:val="right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0AC67F30"/>
    <w:multiLevelType w:val="hybridMultilevel"/>
    <w:tmpl w:val="88D031A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1A6F4A20"/>
    <w:multiLevelType w:val="hybridMultilevel"/>
    <w:tmpl w:val="083EB14C"/>
    <w:lvl w:ilvl="0" w:tplc="04090001">
      <w:start w:val="1"/>
      <w:numFmt w:val="bullet"/>
      <w:lvlText w:val=""/>
      <w:lvlJc w:val="left"/>
      <w:pPr>
        <w:tabs>
          <w:tab w:val="num" w:pos="846"/>
        </w:tabs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eheng">
    <w15:presenceInfo w15:providerId="None" w15:userId="Dehe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0912"/>
    <w:rsid w:val="00005EC6"/>
    <w:rsid w:val="000222E0"/>
    <w:rsid w:val="00022AA9"/>
    <w:rsid w:val="00035315"/>
    <w:rsid w:val="0003705F"/>
    <w:rsid w:val="00050954"/>
    <w:rsid w:val="00054912"/>
    <w:rsid w:val="00063D5A"/>
    <w:rsid w:val="00066AC4"/>
    <w:rsid w:val="00080666"/>
    <w:rsid w:val="00080A3D"/>
    <w:rsid w:val="0009072F"/>
    <w:rsid w:val="00093298"/>
    <w:rsid w:val="0009529E"/>
    <w:rsid w:val="00097CD6"/>
    <w:rsid w:val="000B1F53"/>
    <w:rsid w:val="000C583C"/>
    <w:rsid w:val="000C715C"/>
    <w:rsid w:val="000D1F3C"/>
    <w:rsid w:val="000E6B8A"/>
    <w:rsid w:val="000F20E5"/>
    <w:rsid w:val="000F49B6"/>
    <w:rsid w:val="000F6024"/>
    <w:rsid w:val="00103CBD"/>
    <w:rsid w:val="00112234"/>
    <w:rsid w:val="00113990"/>
    <w:rsid w:val="001150ED"/>
    <w:rsid w:val="00123313"/>
    <w:rsid w:val="00127AC1"/>
    <w:rsid w:val="001312D7"/>
    <w:rsid w:val="00132B86"/>
    <w:rsid w:val="001457BB"/>
    <w:rsid w:val="00153E4A"/>
    <w:rsid w:val="00156CFF"/>
    <w:rsid w:val="00165D60"/>
    <w:rsid w:val="00175879"/>
    <w:rsid w:val="001776F1"/>
    <w:rsid w:val="001810F2"/>
    <w:rsid w:val="001826E1"/>
    <w:rsid w:val="001836EA"/>
    <w:rsid w:val="00186CFF"/>
    <w:rsid w:val="00191DB4"/>
    <w:rsid w:val="001962CF"/>
    <w:rsid w:val="0019670D"/>
    <w:rsid w:val="001A0C32"/>
    <w:rsid w:val="001A33BB"/>
    <w:rsid w:val="001A54D0"/>
    <w:rsid w:val="001A73ED"/>
    <w:rsid w:val="001B12D0"/>
    <w:rsid w:val="001B5E8A"/>
    <w:rsid w:val="001C0F34"/>
    <w:rsid w:val="001C2B23"/>
    <w:rsid w:val="001C51EC"/>
    <w:rsid w:val="001D1DA1"/>
    <w:rsid w:val="001D309A"/>
    <w:rsid w:val="001E75E8"/>
    <w:rsid w:val="001F4D06"/>
    <w:rsid w:val="00202FAC"/>
    <w:rsid w:val="00222FCA"/>
    <w:rsid w:val="00223A4F"/>
    <w:rsid w:val="00235A20"/>
    <w:rsid w:val="00240A32"/>
    <w:rsid w:val="00243973"/>
    <w:rsid w:val="002448CA"/>
    <w:rsid w:val="00254008"/>
    <w:rsid w:val="002554A6"/>
    <w:rsid w:val="00257AF3"/>
    <w:rsid w:val="00261C39"/>
    <w:rsid w:val="00261C3A"/>
    <w:rsid w:val="00262DC8"/>
    <w:rsid w:val="00273604"/>
    <w:rsid w:val="00282998"/>
    <w:rsid w:val="0029615A"/>
    <w:rsid w:val="002A65BB"/>
    <w:rsid w:val="002B329E"/>
    <w:rsid w:val="002B4261"/>
    <w:rsid w:val="002B43DA"/>
    <w:rsid w:val="002C68C1"/>
    <w:rsid w:val="002D5BAF"/>
    <w:rsid w:val="002D7471"/>
    <w:rsid w:val="002D7749"/>
    <w:rsid w:val="002E11F6"/>
    <w:rsid w:val="002F0310"/>
    <w:rsid w:val="002F63A7"/>
    <w:rsid w:val="002F64BA"/>
    <w:rsid w:val="00302765"/>
    <w:rsid w:val="00322DD1"/>
    <w:rsid w:val="0032778E"/>
    <w:rsid w:val="00330912"/>
    <w:rsid w:val="003368AD"/>
    <w:rsid w:val="0034147B"/>
    <w:rsid w:val="003442D1"/>
    <w:rsid w:val="00354C8E"/>
    <w:rsid w:val="0035518C"/>
    <w:rsid w:val="00355270"/>
    <w:rsid w:val="00355B8B"/>
    <w:rsid w:val="00364AD0"/>
    <w:rsid w:val="00366F58"/>
    <w:rsid w:val="003700D0"/>
    <w:rsid w:val="0037025E"/>
    <w:rsid w:val="0037145C"/>
    <w:rsid w:val="00372D53"/>
    <w:rsid w:val="00377E5F"/>
    <w:rsid w:val="00381636"/>
    <w:rsid w:val="00382609"/>
    <w:rsid w:val="0038517A"/>
    <w:rsid w:val="00392A0E"/>
    <w:rsid w:val="0039652F"/>
    <w:rsid w:val="003B0850"/>
    <w:rsid w:val="003B38CB"/>
    <w:rsid w:val="003B4DF3"/>
    <w:rsid w:val="003C51A7"/>
    <w:rsid w:val="003D38A0"/>
    <w:rsid w:val="003D3BFF"/>
    <w:rsid w:val="003F2013"/>
    <w:rsid w:val="00407F3D"/>
    <w:rsid w:val="00411FFB"/>
    <w:rsid w:val="00415A74"/>
    <w:rsid w:val="004204ED"/>
    <w:rsid w:val="00422AD6"/>
    <w:rsid w:val="00430855"/>
    <w:rsid w:val="004316E6"/>
    <w:rsid w:val="00432B56"/>
    <w:rsid w:val="00432C6F"/>
    <w:rsid w:val="00434A34"/>
    <w:rsid w:val="00442C1A"/>
    <w:rsid w:val="00444460"/>
    <w:rsid w:val="00452B74"/>
    <w:rsid w:val="004542F7"/>
    <w:rsid w:val="00465D03"/>
    <w:rsid w:val="004754B2"/>
    <w:rsid w:val="0048213D"/>
    <w:rsid w:val="00485E6B"/>
    <w:rsid w:val="00492807"/>
    <w:rsid w:val="00494751"/>
    <w:rsid w:val="004A12CA"/>
    <w:rsid w:val="004A2D52"/>
    <w:rsid w:val="004B2532"/>
    <w:rsid w:val="004C7C6C"/>
    <w:rsid w:val="004D015B"/>
    <w:rsid w:val="004E230A"/>
    <w:rsid w:val="004E589F"/>
    <w:rsid w:val="004E637A"/>
    <w:rsid w:val="004E6E04"/>
    <w:rsid w:val="004F10C9"/>
    <w:rsid w:val="004F46FB"/>
    <w:rsid w:val="00501143"/>
    <w:rsid w:val="00503CF5"/>
    <w:rsid w:val="00510CF0"/>
    <w:rsid w:val="0051360A"/>
    <w:rsid w:val="005202D7"/>
    <w:rsid w:val="00525781"/>
    <w:rsid w:val="005317A1"/>
    <w:rsid w:val="005605BD"/>
    <w:rsid w:val="00562EF8"/>
    <w:rsid w:val="00563BBE"/>
    <w:rsid w:val="0057342C"/>
    <w:rsid w:val="0058692C"/>
    <w:rsid w:val="00586B18"/>
    <w:rsid w:val="00590508"/>
    <w:rsid w:val="00591118"/>
    <w:rsid w:val="005A023A"/>
    <w:rsid w:val="005A70D5"/>
    <w:rsid w:val="005A73EB"/>
    <w:rsid w:val="005B2C1E"/>
    <w:rsid w:val="005C3A01"/>
    <w:rsid w:val="005D37D2"/>
    <w:rsid w:val="005F63F9"/>
    <w:rsid w:val="005F6B88"/>
    <w:rsid w:val="00605124"/>
    <w:rsid w:val="00606DAF"/>
    <w:rsid w:val="00617C2B"/>
    <w:rsid w:val="00623074"/>
    <w:rsid w:val="006233FE"/>
    <w:rsid w:val="006240D4"/>
    <w:rsid w:val="00631B48"/>
    <w:rsid w:val="00632108"/>
    <w:rsid w:val="00637A79"/>
    <w:rsid w:val="006456AE"/>
    <w:rsid w:val="00665DAE"/>
    <w:rsid w:val="006712F4"/>
    <w:rsid w:val="00675537"/>
    <w:rsid w:val="006815D0"/>
    <w:rsid w:val="0068409E"/>
    <w:rsid w:val="00685C4A"/>
    <w:rsid w:val="006868BD"/>
    <w:rsid w:val="006A3AF0"/>
    <w:rsid w:val="006A4447"/>
    <w:rsid w:val="006A61D4"/>
    <w:rsid w:val="006B034F"/>
    <w:rsid w:val="006B0B40"/>
    <w:rsid w:val="006B1EF9"/>
    <w:rsid w:val="006B58C6"/>
    <w:rsid w:val="006C243F"/>
    <w:rsid w:val="006D1411"/>
    <w:rsid w:val="006D6716"/>
    <w:rsid w:val="006D7E01"/>
    <w:rsid w:val="006E4A83"/>
    <w:rsid w:val="006E541B"/>
    <w:rsid w:val="006F37F8"/>
    <w:rsid w:val="006F5AB5"/>
    <w:rsid w:val="0070075B"/>
    <w:rsid w:val="00703D82"/>
    <w:rsid w:val="00717EE7"/>
    <w:rsid w:val="00730C64"/>
    <w:rsid w:val="0073298B"/>
    <w:rsid w:val="00732E7A"/>
    <w:rsid w:val="00746FD6"/>
    <w:rsid w:val="00750BF9"/>
    <w:rsid w:val="007517F5"/>
    <w:rsid w:val="00752146"/>
    <w:rsid w:val="007555DF"/>
    <w:rsid w:val="00770045"/>
    <w:rsid w:val="007746A1"/>
    <w:rsid w:val="00781009"/>
    <w:rsid w:val="007973CA"/>
    <w:rsid w:val="007A08B3"/>
    <w:rsid w:val="007A6D31"/>
    <w:rsid w:val="007C1E2D"/>
    <w:rsid w:val="007C2305"/>
    <w:rsid w:val="007C763D"/>
    <w:rsid w:val="00801D82"/>
    <w:rsid w:val="00802711"/>
    <w:rsid w:val="0080392B"/>
    <w:rsid w:val="0082208A"/>
    <w:rsid w:val="00823CB4"/>
    <w:rsid w:val="00855B42"/>
    <w:rsid w:val="0086121C"/>
    <w:rsid w:val="00861771"/>
    <w:rsid w:val="0089445E"/>
    <w:rsid w:val="008A54DE"/>
    <w:rsid w:val="008B3140"/>
    <w:rsid w:val="008B6005"/>
    <w:rsid w:val="008D752D"/>
    <w:rsid w:val="008E15FE"/>
    <w:rsid w:val="008F0867"/>
    <w:rsid w:val="008F421D"/>
    <w:rsid w:val="008F443F"/>
    <w:rsid w:val="008F5DE6"/>
    <w:rsid w:val="0090000E"/>
    <w:rsid w:val="009002A7"/>
    <w:rsid w:val="00931991"/>
    <w:rsid w:val="00942BDD"/>
    <w:rsid w:val="00942CDF"/>
    <w:rsid w:val="0095486F"/>
    <w:rsid w:val="0096061A"/>
    <w:rsid w:val="00961411"/>
    <w:rsid w:val="0097280A"/>
    <w:rsid w:val="009773F2"/>
    <w:rsid w:val="009848E3"/>
    <w:rsid w:val="00995AD5"/>
    <w:rsid w:val="009A3002"/>
    <w:rsid w:val="009A652A"/>
    <w:rsid w:val="009B1BF0"/>
    <w:rsid w:val="009C32D8"/>
    <w:rsid w:val="009C3975"/>
    <w:rsid w:val="009D0ECE"/>
    <w:rsid w:val="009E13EB"/>
    <w:rsid w:val="009E3D5A"/>
    <w:rsid w:val="009E4426"/>
    <w:rsid w:val="009E4747"/>
    <w:rsid w:val="009F681C"/>
    <w:rsid w:val="00A016BD"/>
    <w:rsid w:val="00A13B41"/>
    <w:rsid w:val="00A13B94"/>
    <w:rsid w:val="00A228DA"/>
    <w:rsid w:val="00A34E91"/>
    <w:rsid w:val="00A351F8"/>
    <w:rsid w:val="00A4093F"/>
    <w:rsid w:val="00A45488"/>
    <w:rsid w:val="00A47B9B"/>
    <w:rsid w:val="00A51008"/>
    <w:rsid w:val="00A60421"/>
    <w:rsid w:val="00A62B0E"/>
    <w:rsid w:val="00A65F00"/>
    <w:rsid w:val="00A66677"/>
    <w:rsid w:val="00A67FB4"/>
    <w:rsid w:val="00A70074"/>
    <w:rsid w:val="00A70FB9"/>
    <w:rsid w:val="00A82958"/>
    <w:rsid w:val="00A83B07"/>
    <w:rsid w:val="00A83BE6"/>
    <w:rsid w:val="00AA3AFF"/>
    <w:rsid w:val="00AA5D6E"/>
    <w:rsid w:val="00AB7005"/>
    <w:rsid w:val="00AC4136"/>
    <w:rsid w:val="00AC5C89"/>
    <w:rsid w:val="00AD2908"/>
    <w:rsid w:val="00AD782F"/>
    <w:rsid w:val="00AE3AB2"/>
    <w:rsid w:val="00AE7EE1"/>
    <w:rsid w:val="00AF51F7"/>
    <w:rsid w:val="00B00344"/>
    <w:rsid w:val="00B03F0A"/>
    <w:rsid w:val="00B06F39"/>
    <w:rsid w:val="00B2120E"/>
    <w:rsid w:val="00B2234C"/>
    <w:rsid w:val="00B34E35"/>
    <w:rsid w:val="00B37186"/>
    <w:rsid w:val="00B4036B"/>
    <w:rsid w:val="00B408C8"/>
    <w:rsid w:val="00B550BE"/>
    <w:rsid w:val="00B568CE"/>
    <w:rsid w:val="00B83B88"/>
    <w:rsid w:val="00B92564"/>
    <w:rsid w:val="00B94495"/>
    <w:rsid w:val="00BA199D"/>
    <w:rsid w:val="00BA3728"/>
    <w:rsid w:val="00BA7B04"/>
    <w:rsid w:val="00BB3D0B"/>
    <w:rsid w:val="00BB7ECC"/>
    <w:rsid w:val="00BD6096"/>
    <w:rsid w:val="00BF265A"/>
    <w:rsid w:val="00BF4B84"/>
    <w:rsid w:val="00BF57A5"/>
    <w:rsid w:val="00C04488"/>
    <w:rsid w:val="00C34A23"/>
    <w:rsid w:val="00C35CBB"/>
    <w:rsid w:val="00C36853"/>
    <w:rsid w:val="00C42315"/>
    <w:rsid w:val="00C45E8F"/>
    <w:rsid w:val="00C528A6"/>
    <w:rsid w:val="00C608D4"/>
    <w:rsid w:val="00C6093E"/>
    <w:rsid w:val="00C6141C"/>
    <w:rsid w:val="00C65716"/>
    <w:rsid w:val="00C66510"/>
    <w:rsid w:val="00C83DB9"/>
    <w:rsid w:val="00C87EFF"/>
    <w:rsid w:val="00C93A42"/>
    <w:rsid w:val="00C93FB7"/>
    <w:rsid w:val="00CB429F"/>
    <w:rsid w:val="00CD0B38"/>
    <w:rsid w:val="00CD3183"/>
    <w:rsid w:val="00CE4C7F"/>
    <w:rsid w:val="00CE6484"/>
    <w:rsid w:val="00D059FF"/>
    <w:rsid w:val="00D12B93"/>
    <w:rsid w:val="00D14AE9"/>
    <w:rsid w:val="00D23FA7"/>
    <w:rsid w:val="00D24DF4"/>
    <w:rsid w:val="00D256FC"/>
    <w:rsid w:val="00D27640"/>
    <w:rsid w:val="00D311D1"/>
    <w:rsid w:val="00D329AE"/>
    <w:rsid w:val="00D330E8"/>
    <w:rsid w:val="00D335E5"/>
    <w:rsid w:val="00D34BEB"/>
    <w:rsid w:val="00D46971"/>
    <w:rsid w:val="00D506B7"/>
    <w:rsid w:val="00D5086A"/>
    <w:rsid w:val="00D6131B"/>
    <w:rsid w:val="00D74B63"/>
    <w:rsid w:val="00D7742D"/>
    <w:rsid w:val="00D86AA4"/>
    <w:rsid w:val="00D92049"/>
    <w:rsid w:val="00D969F9"/>
    <w:rsid w:val="00DB1FF6"/>
    <w:rsid w:val="00DB699C"/>
    <w:rsid w:val="00DC1103"/>
    <w:rsid w:val="00DC66B5"/>
    <w:rsid w:val="00DD4D33"/>
    <w:rsid w:val="00DE057C"/>
    <w:rsid w:val="00DF01A3"/>
    <w:rsid w:val="00DF6216"/>
    <w:rsid w:val="00E01198"/>
    <w:rsid w:val="00E02CA0"/>
    <w:rsid w:val="00E12589"/>
    <w:rsid w:val="00E17ECD"/>
    <w:rsid w:val="00E25C1E"/>
    <w:rsid w:val="00E27823"/>
    <w:rsid w:val="00E45AD8"/>
    <w:rsid w:val="00E55C81"/>
    <w:rsid w:val="00E742EB"/>
    <w:rsid w:val="00E75998"/>
    <w:rsid w:val="00E926A3"/>
    <w:rsid w:val="00E94584"/>
    <w:rsid w:val="00EB358C"/>
    <w:rsid w:val="00EC42CF"/>
    <w:rsid w:val="00EC48D2"/>
    <w:rsid w:val="00EC75D7"/>
    <w:rsid w:val="00ED48E3"/>
    <w:rsid w:val="00EE27ED"/>
    <w:rsid w:val="00EE59C0"/>
    <w:rsid w:val="00EE78DC"/>
    <w:rsid w:val="00EF42F3"/>
    <w:rsid w:val="00EF625E"/>
    <w:rsid w:val="00EF6EB0"/>
    <w:rsid w:val="00F00125"/>
    <w:rsid w:val="00F024F6"/>
    <w:rsid w:val="00F02552"/>
    <w:rsid w:val="00F11B7B"/>
    <w:rsid w:val="00F150BA"/>
    <w:rsid w:val="00F24B05"/>
    <w:rsid w:val="00F3515F"/>
    <w:rsid w:val="00F37C40"/>
    <w:rsid w:val="00F413AB"/>
    <w:rsid w:val="00F44207"/>
    <w:rsid w:val="00F45BB5"/>
    <w:rsid w:val="00F506C2"/>
    <w:rsid w:val="00F56019"/>
    <w:rsid w:val="00F61ABE"/>
    <w:rsid w:val="00F70794"/>
    <w:rsid w:val="00F73E42"/>
    <w:rsid w:val="00F77024"/>
    <w:rsid w:val="00F7705F"/>
    <w:rsid w:val="00F8166E"/>
    <w:rsid w:val="00F83652"/>
    <w:rsid w:val="00F9469B"/>
    <w:rsid w:val="00F94C26"/>
    <w:rsid w:val="00FA369D"/>
    <w:rsid w:val="00FA5655"/>
    <w:rsid w:val="00FB278A"/>
    <w:rsid w:val="00FB34C4"/>
    <w:rsid w:val="00FB532E"/>
    <w:rsid w:val="00FC66ED"/>
    <w:rsid w:val="00FC6A59"/>
    <w:rsid w:val="00FD410B"/>
    <w:rsid w:val="00FD5526"/>
    <w:rsid w:val="00FD6EB9"/>
    <w:rsid w:val="00FE3306"/>
    <w:rsid w:val="00FE414B"/>
    <w:rsid w:val="00FF5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9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11223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rsid w:val="00330912"/>
    <w:rPr>
      <w:rFonts w:ascii="Times New Roman" w:hAnsi="Times New Roman"/>
      <w:sz w:val="18"/>
      <w:szCs w:val="18"/>
    </w:rPr>
  </w:style>
  <w:style w:type="paragraph" w:styleId="a4">
    <w:name w:val="List Paragraph"/>
    <w:basedOn w:val="a"/>
    <w:uiPriority w:val="34"/>
    <w:qFormat/>
    <w:rsid w:val="00330912"/>
    <w:pPr>
      <w:ind w:firstLineChars="200" w:firstLine="420"/>
    </w:pPr>
  </w:style>
  <w:style w:type="paragraph" w:styleId="a3">
    <w:name w:val="header"/>
    <w:basedOn w:val="a"/>
    <w:link w:val="Char"/>
    <w:uiPriority w:val="99"/>
    <w:rsid w:val="00330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330912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rsid w:val="00330912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2"/>
      <w:szCs w:val="22"/>
    </w:rPr>
  </w:style>
  <w:style w:type="character" w:styleId="a6">
    <w:name w:val="Hyperlink"/>
    <w:basedOn w:val="a0"/>
    <w:uiPriority w:val="99"/>
    <w:unhideWhenUsed/>
    <w:rsid w:val="00330912"/>
    <w:rPr>
      <w:color w:val="0000FF" w:themeColor="hyperlink"/>
      <w:u w:val="single"/>
    </w:rPr>
  </w:style>
  <w:style w:type="paragraph" w:styleId="a7">
    <w:name w:val="footer"/>
    <w:basedOn w:val="a"/>
    <w:link w:val="Char0"/>
    <w:uiPriority w:val="99"/>
    <w:unhideWhenUsed/>
    <w:rsid w:val="00961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961411"/>
    <w:rPr>
      <w:rFonts w:ascii="Times New Roman" w:eastAsia="宋体" w:hAnsi="Times New Roman" w:cs="Times New Roman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8D752D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8D752D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8D752D"/>
    <w:rPr>
      <w:rFonts w:ascii="Times New Roman" w:eastAsia="宋体" w:hAnsi="Times New Roman" w:cs="Times New Roman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D752D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8D752D"/>
    <w:rPr>
      <w:rFonts w:ascii="Times New Roman" w:eastAsia="宋体" w:hAnsi="Times New Roman" w:cs="Times New Roman"/>
      <w:b/>
      <w:bCs/>
      <w:szCs w:val="24"/>
    </w:rPr>
  </w:style>
  <w:style w:type="paragraph" w:styleId="ab">
    <w:name w:val="Balloon Text"/>
    <w:basedOn w:val="a"/>
    <w:link w:val="Char4"/>
    <w:uiPriority w:val="99"/>
    <w:semiHidden/>
    <w:unhideWhenUsed/>
    <w:rsid w:val="008D752D"/>
    <w:rPr>
      <w:sz w:val="18"/>
      <w:szCs w:val="18"/>
    </w:rPr>
  </w:style>
  <w:style w:type="character" w:customStyle="1" w:styleId="Char4">
    <w:name w:val="批注框文本 Char"/>
    <w:basedOn w:val="a0"/>
    <w:link w:val="ab"/>
    <w:uiPriority w:val="99"/>
    <w:semiHidden/>
    <w:rsid w:val="008D752D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11223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112234"/>
  </w:style>
  <w:style w:type="paragraph" w:styleId="ac">
    <w:name w:val="Document Map"/>
    <w:basedOn w:val="a"/>
    <w:link w:val="Char5"/>
    <w:uiPriority w:val="99"/>
    <w:semiHidden/>
    <w:unhideWhenUsed/>
    <w:rsid w:val="000E6B8A"/>
    <w:rPr>
      <w:rFonts w:ascii="宋体"/>
      <w:sz w:val="18"/>
      <w:szCs w:val="18"/>
    </w:rPr>
  </w:style>
  <w:style w:type="character" w:customStyle="1" w:styleId="Char5">
    <w:name w:val="文档结构图 Char"/>
    <w:basedOn w:val="a0"/>
    <w:link w:val="ac"/>
    <w:uiPriority w:val="99"/>
    <w:semiHidden/>
    <w:rsid w:val="000E6B8A"/>
    <w:rPr>
      <w:rFonts w:ascii="宋体" w:eastAsia="宋体" w:hAnsi="Times New Roman" w:cs="Times New Roman"/>
      <w:sz w:val="18"/>
      <w:szCs w:val="18"/>
    </w:rPr>
  </w:style>
  <w:style w:type="paragraph" w:styleId="ad">
    <w:name w:val="Date"/>
    <w:basedOn w:val="a"/>
    <w:next w:val="a"/>
    <w:link w:val="Char6"/>
    <w:uiPriority w:val="99"/>
    <w:semiHidden/>
    <w:unhideWhenUsed/>
    <w:rsid w:val="006A3AF0"/>
    <w:pPr>
      <w:ind w:leftChars="2500" w:left="100"/>
    </w:pPr>
  </w:style>
  <w:style w:type="character" w:customStyle="1" w:styleId="Char6">
    <w:name w:val="日期 Char"/>
    <w:basedOn w:val="a0"/>
    <w:link w:val="ad"/>
    <w:uiPriority w:val="99"/>
    <w:semiHidden/>
    <w:rsid w:val="006A3AF0"/>
    <w:rPr>
      <w:rFonts w:ascii="Times New Roman" w:eastAsia="宋体" w:hAnsi="Times New Roman" w:cs="Times New Roman"/>
      <w:szCs w:val="24"/>
    </w:rPr>
  </w:style>
  <w:style w:type="paragraph" w:customStyle="1" w:styleId="Default">
    <w:name w:val="Default"/>
    <w:rsid w:val="00066AC4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table" w:styleId="ae">
    <w:name w:val="Table Grid"/>
    <w:basedOn w:val="a1"/>
    <w:uiPriority w:val="59"/>
    <w:rsid w:val="00366F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3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16DB1-7B61-412C-961D-6B80F683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368</Words>
  <Characters>2104</Characters>
  <Application>Microsoft Office Word</Application>
  <DocSecurity>0</DocSecurity>
  <Lines>17</Lines>
  <Paragraphs>4</Paragraphs>
  <ScaleCrop>false</ScaleCrop>
  <Company>微软中国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刘guobiao</dc:creator>
  <cp:lastModifiedBy>AutoBVT</cp:lastModifiedBy>
  <cp:revision>9</cp:revision>
  <cp:lastPrinted>2019-12-02T01:35:00Z</cp:lastPrinted>
  <dcterms:created xsi:type="dcterms:W3CDTF">2019-12-11T00:16:00Z</dcterms:created>
  <dcterms:modified xsi:type="dcterms:W3CDTF">2019-12-12T00:07:00Z</dcterms:modified>
</cp:coreProperties>
</file>