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371" w:rsidRPr="00187BDC" w:rsidRDefault="00A46371" w:rsidP="00A46371">
      <w:pPr>
        <w:adjustRightInd w:val="0"/>
        <w:snapToGrid w:val="0"/>
        <w:spacing w:line="420" w:lineRule="auto"/>
        <w:ind w:right="-154"/>
        <w:rPr>
          <w:rFonts w:ascii="黑体" w:eastAsia="黑体" w:hAnsi="宋体"/>
          <w:color w:val="000000"/>
          <w:kern w:val="0"/>
          <w:sz w:val="24"/>
          <w:szCs w:val="22"/>
        </w:rPr>
      </w:pPr>
      <w:r w:rsidRPr="00187BDC">
        <w:rPr>
          <w:rFonts w:ascii="黑体" w:eastAsia="黑体" w:hAnsi="宋体"/>
          <w:color w:val="000000"/>
          <w:kern w:val="0"/>
          <w:sz w:val="24"/>
          <w:szCs w:val="22"/>
        </w:rPr>
        <w:t>证券代码：600362</w:t>
      </w:r>
      <w:r w:rsidRPr="00187BDC">
        <w:rPr>
          <w:rFonts w:ascii="黑体" w:eastAsia="黑体" w:hAnsi="宋体"/>
          <w:color w:val="000000"/>
          <w:kern w:val="0"/>
          <w:sz w:val="24"/>
          <w:szCs w:val="22"/>
        </w:rPr>
        <w:tab/>
        <w:t xml:space="preserve">  </w:t>
      </w:r>
      <w:r>
        <w:rPr>
          <w:rFonts w:ascii="黑体" w:eastAsia="黑体" w:hAnsi="宋体" w:hint="eastAsia"/>
          <w:color w:val="000000"/>
          <w:kern w:val="0"/>
          <w:sz w:val="24"/>
          <w:szCs w:val="22"/>
        </w:rPr>
        <w:t xml:space="preserve">  </w:t>
      </w:r>
      <w:r w:rsidRPr="00187BDC">
        <w:rPr>
          <w:rFonts w:ascii="黑体" w:eastAsia="黑体" w:hAnsi="宋体"/>
          <w:color w:val="000000"/>
          <w:kern w:val="0"/>
          <w:sz w:val="24"/>
          <w:szCs w:val="22"/>
        </w:rPr>
        <w:t xml:space="preserve"> 证券简称：</w:t>
      </w:r>
      <w:r>
        <w:rPr>
          <w:rFonts w:ascii="黑体" w:eastAsia="黑体" w:hAnsi="宋体" w:hint="eastAsia"/>
          <w:color w:val="000000"/>
          <w:kern w:val="0"/>
          <w:sz w:val="24"/>
          <w:szCs w:val="22"/>
        </w:rPr>
        <w:t>江西铜业</w:t>
      </w:r>
      <w:r w:rsidRPr="00187BDC">
        <w:rPr>
          <w:rFonts w:ascii="黑体" w:eastAsia="黑体" w:hAnsi="宋体"/>
          <w:color w:val="000000"/>
          <w:kern w:val="0"/>
          <w:sz w:val="24"/>
          <w:szCs w:val="22"/>
        </w:rPr>
        <w:tab/>
        <w:t xml:space="preserve"> </w:t>
      </w:r>
      <w:r>
        <w:rPr>
          <w:rFonts w:ascii="黑体" w:eastAsia="黑体" w:hAnsi="宋体" w:hint="eastAsia"/>
          <w:color w:val="000000"/>
          <w:kern w:val="0"/>
          <w:sz w:val="24"/>
          <w:szCs w:val="22"/>
        </w:rPr>
        <w:t xml:space="preserve"> </w:t>
      </w:r>
      <w:r w:rsidRPr="00187BDC">
        <w:rPr>
          <w:rFonts w:ascii="黑体" w:eastAsia="黑体" w:hAnsi="宋体"/>
          <w:color w:val="000000"/>
          <w:kern w:val="0"/>
          <w:sz w:val="24"/>
          <w:szCs w:val="22"/>
        </w:rPr>
        <w:t xml:space="preserve"> </w:t>
      </w:r>
      <w:r>
        <w:rPr>
          <w:rFonts w:ascii="黑体" w:eastAsia="黑体" w:hAnsi="宋体" w:hint="eastAsia"/>
          <w:color w:val="000000"/>
          <w:kern w:val="0"/>
          <w:sz w:val="24"/>
          <w:szCs w:val="22"/>
        </w:rPr>
        <w:t xml:space="preserve">  </w:t>
      </w:r>
      <w:r w:rsidRPr="00187BDC">
        <w:rPr>
          <w:rFonts w:ascii="黑体" w:eastAsia="黑体" w:hAnsi="宋体"/>
          <w:color w:val="000000"/>
          <w:kern w:val="0"/>
          <w:sz w:val="24"/>
          <w:szCs w:val="22"/>
        </w:rPr>
        <w:t>公告编</w:t>
      </w:r>
      <w:r w:rsidRPr="00B943BE">
        <w:rPr>
          <w:rFonts w:ascii="黑体" w:eastAsia="黑体" w:hAnsi="宋体"/>
          <w:color w:val="000000"/>
          <w:kern w:val="0"/>
          <w:sz w:val="24"/>
          <w:szCs w:val="22"/>
        </w:rPr>
        <w:t>号：临201</w:t>
      </w:r>
      <w:r w:rsidRPr="00B943BE">
        <w:rPr>
          <w:rFonts w:ascii="黑体" w:eastAsia="黑体" w:hAnsi="宋体" w:hint="eastAsia"/>
          <w:color w:val="000000"/>
          <w:kern w:val="0"/>
          <w:sz w:val="24"/>
          <w:szCs w:val="22"/>
        </w:rPr>
        <w:t>9</w:t>
      </w:r>
      <w:r w:rsidRPr="00B943BE">
        <w:rPr>
          <w:rFonts w:ascii="黑体" w:eastAsia="黑体" w:hAnsi="宋体"/>
          <w:color w:val="000000"/>
          <w:kern w:val="0"/>
          <w:sz w:val="24"/>
          <w:szCs w:val="22"/>
        </w:rPr>
        <w:t>-0</w:t>
      </w:r>
      <w:r w:rsidRPr="00B943BE">
        <w:rPr>
          <w:rFonts w:ascii="黑体" w:eastAsia="黑体" w:hAnsi="宋体" w:hint="eastAsia"/>
          <w:color w:val="000000"/>
          <w:kern w:val="0"/>
          <w:sz w:val="24"/>
          <w:szCs w:val="22"/>
        </w:rPr>
        <w:t>1</w:t>
      </w:r>
      <w:r w:rsidR="00B943BE" w:rsidRPr="00B943BE">
        <w:rPr>
          <w:rFonts w:ascii="黑体" w:eastAsia="黑体" w:hAnsi="宋体" w:hint="eastAsia"/>
          <w:color w:val="000000"/>
          <w:kern w:val="0"/>
          <w:sz w:val="24"/>
          <w:szCs w:val="22"/>
        </w:rPr>
        <w:t>5</w:t>
      </w:r>
    </w:p>
    <w:p w:rsidR="00A46371" w:rsidRDefault="00A46371" w:rsidP="00A46371">
      <w:pPr>
        <w:pStyle w:val="ab"/>
        <w:spacing w:before="0" w:beforeAutospacing="0" w:after="0" w:afterAutospacing="0" w:line="360" w:lineRule="auto"/>
        <w:rPr>
          <w:rFonts w:ascii="黑体" w:eastAsia="黑体" w:cs="Times New Roman"/>
          <w:color w:val="000000"/>
          <w:szCs w:val="22"/>
        </w:rPr>
      </w:pPr>
      <w:r w:rsidRPr="00187BDC">
        <w:rPr>
          <w:rFonts w:ascii="黑体" w:eastAsia="黑体" w:cs="Times New Roman" w:hint="eastAsia"/>
          <w:color w:val="000000"/>
          <w:szCs w:val="22"/>
        </w:rPr>
        <w:t>债券代码：</w:t>
      </w:r>
      <w:r w:rsidRPr="00187BDC">
        <w:rPr>
          <w:rFonts w:ascii="黑体" w:eastAsia="黑体" w:cs="Times New Roman"/>
          <w:color w:val="000000"/>
          <w:szCs w:val="22"/>
        </w:rPr>
        <w:t xml:space="preserve">143304    </w:t>
      </w:r>
      <w:r w:rsidRPr="00187BDC">
        <w:rPr>
          <w:rFonts w:ascii="黑体" w:eastAsia="黑体" w:cs="Times New Roman" w:hint="eastAsia"/>
          <w:color w:val="000000"/>
          <w:szCs w:val="22"/>
        </w:rPr>
        <w:t xml:space="preserve"> </w:t>
      </w:r>
      <w:r>
        <w:rPr>
          <w:rFonts w:ascii="黑体" w:eastAsia="黑体" w:cs="Times New Roman" w:hint="eastAsia"/>
          <w:color w:val="000000"/>
          <w:szCs w:val="22"/>
        </w:rPr>
        <w:t xml:space="preserve"> </w:t>
      </w:r>
      <w:r w:rsidRPr="00187BDC">
        <w:rPr>
          <w:rFonts w:ascii="黑体" w:eastAsia="黑体" w:cs="Times New Roman" w:hint="eastAsia"/>
          <w:color w:val="000000"/>
          <w:szCs w:val="22"/>
        </w:rPr>
        <w:t>债券简称：</w:t>
      </w:r>
      <w:r w:rsidRPr="00187BDC">
        <w:rPr>
          <w:rFonts w:ascii="黑体" w:eastAsia="黑体" w:cs="Times New Roman"/>
          <w:color w:val="000000"/>
          <w:szCs w:val="22"/>
        </w:rPr>
        <w:t>17</w:t>
      </w:r>
      <w:r w:rsidRPr="00187BDC">
        <w:rPr>
          <w:rFonts w:ascii="黑体" w:eastAsia="黑体" w:cs="Times New Roman" w:hint="eastAsia"/>
          <w:color w:val="000000"/>
          <w:szCs w:val="22"/>
        </w:rPr>
        <w:t>江铜</w:t>
      </w:r>
      <w:r w:rsidRPr="00187BDC">
        <w:rPr>
          <w:rFonts w:ascii="黑体" w:eastAsia="黑体" w:cs="Times New Roman"/>
          <w:color w:val="000000"/>
          <w:szCs w:val="22"/>
        </w:rPr>
        <w:t>01</w:t>
      </w:r>
    </w:p>
    <w:p w:rsidR="00A46371" w:rsidRPr="00187BDC" w:rsidRDefault="00A46371" w:rsidP="00A46371">
      <w:pPr>
        <w:pStyle w:val="ab"/>
        <w:spacing w:before="0" w:beforeAutospacing="0" w:after="0" w:afterAutospacing="0" w:line="360" w:lineRule="auto"/>
        <w:rPr>
          <w:rFonts w:ascii="黑体" w:eastAsia="黑体" w:cs="Times New Roman"/>
          <w:color w:val="000000"/>
          <w:szCs w:val="22"/>
        </w:rPr>
      </w:pPr>
    </w:p>
    <w:p w:rsidR="00A46371" w:rsidRDefault="00A46371" w:rsidP="00A46371">
      <w:pPr>
        <w:spacing w:line="420" w:lineRule="auto"/>
        <w:jc w:val="center"/>
        <w:rPr>
          <w:rFonts w:eastAsia="黑体"/>
          <w:b/>
          <w:bCs/>
          <w:color w:val="FF0000"/>
          <w:sz w:val="36"/>
          <w:szCs w:val="36"/>
        </w:rPr>
      </w:pPr>
      <w:r>
        <w:rPr>
          <w:rFonts w:eastAsia="黑体" w:hint="eastAsia"/>
          <w:b/>
          <w:bCs/>
          <w:color w:val="FF0000"/>
          <w:sz w:val="36"/>
          <w:szCs w:val="36"/>
        </w:rPr>
        <w:t>江西铜业</w:t>
      </w:r>
      <w:r w:rsidRPr="00187BDC">
        <w:rPr>
          <w:rFonts w:eastAsia="黑体"/>
          <w:b/>
          <w:bCs/>
          <w:color w:val="FF0000"/>
          <w:sz w:val="36"/>
          <w:szCs w:val="36"/>
        </w:rPr>
        <w:t>股份有限公司</w:t>
      </w:r>
    </w:p>
    <w:p w:rsidR="00A46371" w:rsidRPr="00187BDC" w:rsidRDefault="00A46371" w:rsidP="00A46371">
      <w:pPr>
        <w:spacing w:line="420" w:lineRule="auto"/>
        <w:jc w:val="center"/>
        <w:rPr>
          <w:rFonts w:eastAsia="黑体"/>
          <w:b/>
          <w:bCs/>
          <w:color w:val="FF0000"/>
          <w:sz w:val="36"/>
          <w:szCs w:val="36"/>
        </w:rPr>
      </w:pPr>
      <w:r>
        <w:rPr>
          <w:rFonts w:eastAsia="黑体" w:hint="eastAsia"/>
          <w:b/>
          <w:bCs/>
          <w:color w:val="FF0000"/>
          <w:sz w:val="36"/>
          <w:szCs w:val="36"/>
        </w:rPr>
        <w:t>关于会计政策变更的公告</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0"/>
      </w:tblGrid>
      <w:tr w:rsidR="00A46371" w:rsidRPr="00187BDC" w:rsidTr="00BC3ADD">
        <w:trPr>
          <w:trHeight w:val="300"/>
        </w:trPr>
        <w:tc>
          <w:tcPr>
            <w:tcW w:w="8100" w:type="dxa"/>
          </w:tcPr>
          <w:p w:rsidR="00A46371" w:rsidRPr="00187BDC" w:rsidRDefault="00A46371" w:rsidP="00BC3ADD">
            <w:pPr>
              <w:spacing w:before="50" w:after="50" w:line="420" w:lineRule="auto"/>
              <w:ind w:firstLineChars="200" w:firstLine="480"/>
              <w:rPr>
                <w:sz w:val="24"/>
              </w:rPr>
            </w:pPr>
            <w:r w:rsidRPr="00187BDC">
              <w:rPr>
                <w:rFonts w:ascii="楷体_GB2312" w:eastAsia="楷体_GB2312" w:hAnsi="宋体"/>
                <w:sz w:val="24"/>
              </w:rPr>
              <w:t>本公司及董事会全体成员保证公告内容的真实、准确和完整，对公告的虚假记载、误导性陈述或者重大遗漏负连带责任。</w:t>
            </w:r>
          </w:p>
        </w:tc>
      </w:tr>
    </w:tbl>
    <w:p w:rsidR="00A46371" w:rsidRDefault="00A46371" w:rsidP="00717B66">
      <w:pPr>
        <w:widowControl/>
        <w:spacing w:line="420" w:lineRule="auto"/>
        <w:ind w:firstLineChars="200" w:firstLine="482"/>
        <w:jc w:val="center"/>
        <w:rPr>
          <w:b/>
          <w:kern w:val="0"/>
          <w:sz w:val="24"/>
        </w:rPr>
      </w:pPr>
    </w:p>
    <w:p w:rsidR="00016369" w:rsidRPr="00A46371" w:rsidRDefault="00016369" w:rsidP="00F13AF3">
      <w:pPr>
        <w:widowControl/>
        <w:spacing w:line="560" w:lineRule="exact"/>
        <w:ind w:firstLineChars="200" w:firstLine="482"/>
        <w:contextualSpacing/>
        <w:outlineLvl w:val="0"/>
        <w:rPr>
          <w:rFonts w:asciiTheme="minorEastAsia" w:eastAsiaTheme="minorEastAsia" w:hAnsiTheme="minorEastAsia"/>
          <w:b/>
          <w:kern w:val="0"/>
          <w:sz w:val="24"/>
        </w:rPr>
      </w:pPr>
      <w:r w:rsidRPr="00A46371">
        <w:rPr>
          <w:rFonts w:asciiTheme="minorEastAsia" w:eastAsiaTheme="minorEastAsia" w:hAnsiTheme="minorEastAsia"/>
          <w:b/>
          <w:kern w:val="0"/>
          <w:sz w:val="24"/>
        </w:rPr>
        <w:t>一、</w:t>
      </w:r>
      <w:r w:rsidRPr="00A46371">
        <w:rPr>
          <w:rFonts w:asciiTheme="minorEastAsia" w:eastAsiaTheme="minorEastAsia" w:hAnsiTheme="minorEastAsia" w:hint="eastAsia"/>
          <w:b/>
          <w:kern w:val="0"/>
          <w:sz w:val="24"/>
        </w:rPr>
        <w:t>会计政策变更原因</w:t>
      </w:r>
    </w:p>
    <w:p w:rsidR="00016369" w:rsidRPr="00A46371" w:rsidRDefault="00016369"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财政部于2018年颁布了《关于修订印发截至2018年度一般企业财务报表格式的通知》(财会</w:t>
      </w:r>
      <w:r w:rsidR="00F45EE7" w:rsidRPr="00A46371">
        <w:rPr>
          <w:rFonts w:asciiTheme="minorEastAsia" w:eastAsiaTheme="minorEastAsia" w:hAnsiTheme="minorEastAsia" w:hint="eastAsia"/>
          <w:kern w:val="0"/>
          <w:sz w:val="24"/>
        </w:rPr>
        <w:t>〔</w:t>
      </w:r>
      <w:r w:rsidRPr="00A46371">
        <w:rPr>
          <w:rFonts w:asciiTheme="minorEastAsia" w:eastAsiaTheme="minorEastAsia" w:hAnsiTheme="minorEastAsia" w:hint="eastAsia"/>
          <w:kern w:val="0"/>
          <w:sz w:val="24"/>
        </w:rPr>
        <w:t>2018</w:t>
      </w:r>
      <w:r w:rsidR="00F45EE7" w:rsidRPr="00A46371">
        <w:rPr>
          <w:rFonts w:asciiTheme="minorEastAsia" w:eastAsiaTheme="minorEastAsia" w:hAnsiTheme="minorEastAsia" w:hint="eastAsia"/>
          <w:kern w:val="0"/>
          <w:sz w:val="24"/>
        </w:rPr>
        <w:t>〕</w:t>
      </w:r>
      <w:r w:rsidRPr="00A46371">
        <w:rPr>
          <w:rFonts w:asciiTheme="minorEastAsia" w:eastAsiaTheme="minorEastAsia" w:hAnsiTheme="minorEastAsia" w:hint="eastAsia"/>
          <w:kern w:val="0"/>
          <w:sz w:val="24"/>
        </w:rPr>
        <w:t>15号)及《关于2018年度一般企业财务报表格式有关问题的解读》，要求</w:t>
      </w:r>
      <w:r w:rsidRPr="001B61B4">
        <w:rPr>
          <w:rFonts w:asciiTheme="minorEastAsia" w:eastAsiaTheme="minorEastAsia" w:hAnsiTheme="minorEastAsia" w:hint="eastAsia"/>
          <w:kern w:val="0"/>
          <w:sz w:val="24"/>
        </w:rPr>
        <w:t>根据通知要求编制2018年度及以后期间的财务报表。</w:t>
      </w:r>
      <w:r w:rsidR="00A74EA5" w:rsidRPr="001B61B4">
        <w:rPr>
          <w:rFonts w:asciiTheme="minorEastAsia" w:eastAsiaTheme="minorEastAsia" w:hAnsiTheme="minorEastAsia" w:hint="eastAsia"/>
          <w:kern w:val="0"/>
          <w:sz w:val="24"/>
        </w:rPr>
        <w:t>江西铜业股份有限公司董事会201</w:t>
      </w:r>
      <w:r w:rsidR="00A74EA5" w:rsidRPr="001B61B4">
        <w:rPr>
          <w:rFonts w:asciiTheme="minorEastAsia" w:eastAsiaTheme="minorEastAsia" w:hAnsiTheme="minorEastAsia"/>
          <w:kern w:val="0"/>
          <w:sz w:val="24"/>
        </w:rPr>
        <w:t>9</w:t>
      </w:r>
      <w:r w:rsidR="00A74EA5" w:rsidRPr="001B61B4">
        <w:rPr>
          <w:rFonts w:asciiTheme="minorEastAsia" w:eastAsiaTheme="minorEastAsia" w:hAnsiTheme="minorEastAsia" w:hint="eastAsia"/>
          <w:kern w:val="0"/>
          <w:sz w:val="24"/>
        </w:rPr>
        <w:t>年第</w:t>
      </w:r>
      <w:r w:rsidR="00F7347C" w:rsidRPr="001B61B4">
        <w:rPr>
          <w:rFonts w:asciiTheme="minorEastAsia" w:eastAsiaTheme="minorEastAsia" w:hAnsiTheme="minorEastAsia" w:hint="eastAsia"/>
          <w:kern w:val="0"/>
          <w:sz w:val="24"/>
        </w:rPr>
        <w:t>八</w:t>
      </w:r>
      <w:r w:rsidR="00A74EA5" w:rsidRPr="001B61B4">
        <w:rPr>
          <w:rFonts w:asciiTheme="minorEastAsia" w:eastAsiaTheme="minorEastAsia" w:hAnsiTheme="minorEastAsia" w:hint="eastAsia"/>
          <w:kern w:val="0"/>
          <w:sz w:val="24"/>
        </w:rPr>
        <w:t>届</w:t>
      </w:r>
      <w:r w:rsidR="00F7347C" w:rsidRPr="001B61B4">
        <w:rPr>
          <w:rFonts w:asciiTheme="minorEastAsia" w:eastAsiaTheme="minorEastAsia" w:hAnsiTheme="minorEastAsia" w:hint="eastAsia"/>
          <w:kern w:val="0"/>
          <w:sz w:val="24"/>
        </w:rPr>
        <w:t>董事会</w:t>
      </w:r>
      <w:r w:rsidR="00A74EA5" w:rsidRPr="001B61B4">
        <w:rPr>
          <w:rFonts w:asciiTheme="minorEastAsia" w:eastAsiaTheme="minorEastAsia" w:hAnsiTheme="minorEastAsia" w:hint="eastAsia"/>
          <w:kern w:val="0"/>
          <w:sz w:val="24"/>
        </w:rPr>
        <w:t>第</w:t>
      </w:r>
      <w:r w:rsidR="00F7347C" w:rsidRPr="001B61B4">
        <w:rPr>
          <w:rFonts w:asciiTheme="minorEastAsia" w:eastAsiaTheme="minorEastAsia" w:hAnsiTheme="minorEastAsia" w:hint="eastAsia"/>
          <w:kern w:val="0"/>
          <w:sz w:val="24"/>
        </w:rPr>
        <w:t>九</w:t>
      </w:r>
      <w:r w:rsidR="00A74EA5" w:rsidRPr="001B61B4">
        <w:rPr>
          <w:rFonts w:asciiTheme="minorEastAsia" w:eastAsiaTheme="minorEastAsia" w:hAnsiTheme="minorEastAsia" w:hint="eastAsia"/>
          <w:kern w:val="0"/>
          <w:sz w:val="24"/>
        </w:rPr>
        <w:t>次会议审议通过了关于上述事项的《关于会计政策变更的议案》</w:t>
      </w:r>
      <w:r w:rsidR="00FA41E4" w:rsidRPr="001B61B4">
        <w:rPr>
          <w:rFonts w:asciiTheme="minorEastAsia" w:eastAsiaTheme="minorEastAsia" w:hAnsiTheme="minorEastAsia" w:hint="eastAsia"/>
          <w:kern w:val="0"/>
          <w:sz w:val="24"/>
        </w:rPr>
        <w:t>，</w:t>
      </w:r>
      <w:r w:rsidR="00FA41E4" w:rsidRPr="001B61B4">
        <w:rPr>
          <w:rStyle w:val="fontstyle01"/>
          <w:rFonts w:asciiTheme="minorEastAsia" w:eastAsiaTheme="minorEastAsia" w:hAnsiTheme="minorEastAsia" w:hint="default"/>
        </w:rPr>
        <w:t>本次会计政策变更无需提交公司股东大会</w:t>
      </w:r>
      <w:r w:rsidR="00FA41E4" w:rsidRPr="00A46371">
        <w:rPr>
          <w:rStyle w:val="fontstyle01"/>
          <w:rFonts w:asciiTheme="minorEastAsia" w:eastAsiaTheme="minorEastAsia" w:hAnsiTheme="minorEastAsia" w:hint="default"/>
        </w:rPr>
        <w:t>审议。</w:t>
      </w:r>
    </w:p>
    <w:p w:rsidR="00016369" w:rsidRPr="00A46371" w:rsidRDefault="00016369" w:rsidP="00F13AF3">
      <w:pPr>
        <w:widowControl/>
        <w:spacing w:line="560" w:lineRule="exact"/>
        <w:ind w:firstLineChars="196" w:firstLine="472"/>
        <w:contextualSpacing/>
        <w:outlineLvl w:val="0"/>
        <w:rPr>
          <w:rFonts w:asciiTheme="minorEastAsia" w:eastAsiaTheme="minorEastAsia" w:hAnsiTheme="minorEastAsia"/>
          <w:b/>
          <w:kern w:val="0"/>
          <w:sz w:val="24"/>
        </w:rPr>
      </w:pPr>
      <w:r w:rsidRPr="00A46371">
        <w:rPr>
          <w:rFonts w:asciiTheme="minorEastAsia" w:eastAsiaTheme="minorEastAsia" w:hAnsiTheme="minorEastAsia" w:hint="eastAsia"/>
          <w:b/>
          <w:kern w:val="0"/>
          <w:sz w:val="24"/>
        </w:rPr>
        <w:t>二、会计政策变更内容及对</w:t>
      </w:r>
      <w:r w:rsidR="00692C1F" w:rsidRPr="00A46371">
        <w:rPr>
          <w:rFonts w:asciiTheme="minorEastAsia" w:eastAsiaTheme="minorEastAsia" w:hAnsiTheme="minorEastAsia" w:hint="eastAsia"/>
          <w:b/>
          <w:kern w:val="0"/>
          <w:sz w:val="24"/>
        </w:rPr>
        <w:t>江西铜业股份有限公司及其子公司（以下简称“本集团”）</w:t>
      </w:r>
      <w:r w:rsidRPr="00A46371">
        <w:rPr>
          <w:rFonts w:asciiTheme="minorEastAsia" w:eastAsiaTheme="minorEastAsia" w:hAnsiTheme="minorEastAsia" w:hint="eastAsia"/>
          <w:b/>
          <w:kern w:val="0"/>
          <w:sz w:val="24"/>
        </w:rPr>
        <w:t>的影响</w:t>
      </w:r>
    </w:p>
    <w:p w:rsidR="00016369"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（一）</w:t>
      </w:r>
      <w:r w:rsidR="00541E00" w:rsidRPr="00A46371">
        <w:rPr>
          <w:rFonts w:asciiTheme="minorEastAsia" w:eastAsiaTheme="minorEastAsia" w:hAnsiTheme="minorEastAsia" w:hint="eastAsia"/>
          <w:kern w:val="0"/>
          <w:sz w:val="24"/>
        </w:rPr>
        <w:t>《关于修订印发截至2018年度一般企业财务报表格式的通知》(财会</w:t>
      </w:r>
      <w:r w:rsidR="00F45EE7" w:rsidRPr="00A46371">
        <w:rPr>
          <w:rFonts w:asciiTheme="minorEastAsia" w:eastAsiaTheme="minorEastAsia" w:hAnsiTheme="minorEastAsia" w:hint="eastAsia"/>
          <w:kern w:val="0"/>
          <w:sz w:val="24"/>
        </w:rPr>
        <w:t>〔</w:t>
      </w:r>
      <w:r w:rsidR="00541E00" w:rsidRPr="00A46371">
        <w:rPr>
          <w:rFonts w:asciiTheme="minorEastAsia" w:eastAsiaTheme="minorEastAsia" w:hAnsiTheme="minorEastAsia" w:hint="eastAsia"/>
          <w:kern w:val="0"/>
          <w:sz w:val="24"/>
        </w:rPr>
        <w:t>2018</w:t>
      </w:r>
      <w:r w:rsidR="00F45EE7" w:rsidRPr="00A46371">
        <w:rPr>
          <w:rFonts w:asciiTheme="minorEastAsia" w:eastAsiaTheme="minorEastAsia" w:hAnsiTheme="minorEastAsia" w:hint="eastAsia"/>
          <w:kern w:val="0"/>
          <w:sz w:val="24"/>
        </w:rPr>
        <w:t>〕</w:t>
      </w:r>
      <w:r w:rsidR="00541E00" w:rsidRPr="00A46371">
        <w:rPr>
          <w:rFonts w:asciiTheme="minorEastAsia" w:eastAsiaTheme="minorEastAsia" w:hAnsiTheme="minorEastAsia" w:hint="eastAsia"/>
          <w:kern w:val="0"/>
          <w:sz w:val="24"/>
        </w:rPr>
        <w:t>15号)</w:t>
      </w:r>
    </w:p>
    <w:p w:rsidR="00016369" w:rsidRPr="00A46371" w:rsidRDefault="00541E00"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根据《关于修订印发截至2018年度一般企业财务报表格式的通知》(财会</w:t>
      </w:r>
      <w:r w:rsidR="00F45EE7" w:rsidRPr="00A46371">
        <w:rPr>
          <w:rFonts w:asciiTheme="minorEastAsia" w:eastAsiaTheme="minorEastAsia" w:hAnsiTheme="minorEastAsia" w:hint="eastAsia"/>
          <w:kern w:val="0"/>
          <w:sz w:val="24"/>
        </w:rPr>
        <w:t>〔</w:t>
      </w:r>
      <w:r w:rsidRPr="00A46371">
        <w:rPr>
          <w:rFonts w:asciiTheme="minorEastAsia" w:eastAsiaTheme="minorEastAsia" w:hAnsiTheme="minorEastAsia" w:hint="eastAsia"/>
          <w:kern w:val="0"/>
          <w:sz w:val="24"/>
        </w:rPr>
        <w:t>2018</w:t>
      </w:r>
      <w:r w:rsidR="00F45EE7" w:rsidRPr="00A46371">
        <w:rPr>
          <w:rFonts w:asciiTheme="minorEastAsia" w:eastAsiaTheme="minorEastAsia" w:hAnsiTheme="minorEastAsia" w:hint="eastAsia"/>
          <w:kern w:val="0"/>
          <w:sz w:val="24"/>
        </w:rPr>
        <w:t>〕</w:t>
      </w:r>
      <w:r w:rsidRPr="00A46371">
        <w:rPr>
          <w:rFonts w:asciiTheme="minorEastAsia" w:eastAsiaTheme="minorEastAsia" w:hAnsiTheme="minorEastAsia" w:hint="eastAsia"/>
          <w:kern w:val="0"/>
          <w:sz w:val="24"/>
        </w:rPr>
        <w:t>15号)要求，资产负债表中，将“应收票据”和“应收账款”归并至新增的“应收票据和应收账款”项目，将“应收股利”及“应收利息”归并至“其他应收款”项目，将“固定资产清理”归并至“固定资产”项目，将“工程物资”归并至“在建工程”项目，将“应付票据”和“应付账款”归并至新增的“应付</w:t>
      </w:r>
      <w:r w:rsidRPr="00A46371">
        <w:rPr>
          <w:rFonts w:asciiTheme="minorEastAsia" w:eastAsiaTheme="minorEastAsia" w:hAnsiTheme="minorEastAsia" w:hint="eastAsia"/>
          <w:kern w:val="0"/>
          <w:sz w:val="24"/>
        </w:rPr>
        <w:lastRenderedPageBreak/>
        <w:t>票据和应付账款”项目，将“应付股利”、“应付利息”和“其他应付款”归并至“其他应付款”项目，将“专项应付款”归并至“长期应付款”项目；在利润表中的从“营业成本”项目中分拆“研发费用”项目，在财务费用项目下分拆“利息费用”和“利息收入”明细项目；本集团相应追溯调整了比较数据。该会计政策变更对合并及公司净利润和股东权益无影响。</w:t>
      </w:r>
    </w:p>
    <w:p w:rsidR="00541E00" w:rsidRPr="00A46371" w:rsidRDefault="00541E00" w:rsidP="00F13AF3">
      <w:pPr>
        <w:widowControl/>
        <w:spacing w:line="560" w:lineRule="exact"/>
        <w:ind w:firstLineChars="200" w:firstLine="480"/>
        <w:contextualSpacing/>
        <w:jc w:val="left"/>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相关列报调整影响如下：</w:t>
      </w:r>
    </w:p>
    <w:p w:rsidR="00541E00" w:rsidRPr="00541E00" w:rsidRDefault="00541E00" w:rsidP="00F13AF3">
      <w:pPr>
        <w:widowControl/>
        <w:spacing w:line="560" w:lineRule="exact"/>
        <w:ind w:firstLineChars="200" w:firstLine="480"/>
        <w:contextualSpacing/>
        <w:rPr>
          <w:kern w:val="0"/>
          <w:sz w:val="24"/>
        </w:rPr>
      </w:pPr>
      <w:r w:rsidRPr="00A46371">
        <w:rPr>
          <w:rFonts w:asciiTheme="minorEastAsia" w:eastAsiaTheme="minorEastAsia" w:hAnsiTheme="minorEastAsia" w:hint="eastAsia"/>
          <w:kern w:val="0"/>
          <w:sz w:val="24"/>
        </w:rPr>
        <w:t>2017年12月31日受影响的合并资产负债表和母公司资产负债表项目：</w:t>
      </w:r>
    </w:p>
    <w:p w:rsidR="00541E00" w:rsidRPr="00580B5D" w:rsidRDefault="00541E00" w:rsidP="00541E00">
      <w:pPr>
        <w:tabs>
          <w:tab w:val="right" w:pos="3960"/>
          <w:tab w:val="right" w:pos="5400"/>
          <w:tab w:val="right" w:pos="6789"/>
          <w:tab w:val="right" w:pos="8329"/>
        </w:tabs>
        <w:overflowPunct w:val="0"/>
        <w:autoSpaceDE w:val="0"/>
        <w:autoSpaceDN w:val="0"/>
        <w:adjustRightInd w:val="0"/>
        <w:snapToGrid w:val="0"/>
        <w:ind w:left="720" w:hanging="720"/>
        <w:textAlignment w:val="bottom"/>
        <w:rPr>
          <w:rFonts w:asciiTheme="minorEastAsia" w:eastAsiaTheme="minorEastAsia" w:hAnsiTheme="minorEastAsia" w:cs="Arial"/>
          <w:snapToGrid w:val="0"/>
          <w:sz w:val="18"/>
          <w:szCs w:val="20"/>
        </w:rPr>
      </w:pP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合并资产负债表</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会计政策变更前</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会计政策变更后</w:t>
      </w:r>
    </w:p>
    <w:p w:rsidR="00541E00" w:rsidRPr="00580B5D" w:rsidRDefault="00541E00" w:rsidP="00541E00">
      <w:pPr>
        <w:tabs>
          <w:tab w:val="right" w:pos="3720"/>
          <w:tab w:val="right" w:pos="5400"/>
          <w:tab w:val="right" w:pos="6789"/>
          <w:tab w:val="left" w:pos="6845"/>
          <w:tab w:val="right" w:pos="8280"/>
        </w:tabs>
        <w:overflowPunct w:val="0"/>
        <w:autoSpaceDE w:val="0"/>
        <w:autoSpaceDN w:val="0"/>
        <w:adjustRightInd w:val="0"/>
        <w:snapToGrid w:val="0"/>
        <w:ind w:left="720" w:hanging="720"/>
        <w:textAlignment w:val="bottom"/>
        <w:rPr>
          <w:rFonts w:asciiTheme="minorEastAsia" w:eastAsiaTheme="minorEastAsia" w:hAnsiTheme="minorEastAsia" w:cs="Arial"/>
          <w:snapToGrid w:val="0"/>
          <w:sz w:val="18"/>
          <w:szCs w:val="20"/>
        </w:rPr>
      </w:pP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t>2017</w:t>
      </w:r>
      <w:r w:rsidRPr="00580B5D">
        <w:rPr>
          <w:rFonts w:asciiTheme="minorEastAsia" w:eastAsiaTheme="minorEastAsia" w:hAnsiTheme="minorEastAsia" w:cs="Arial" w:hint="eastAsia"/>
          <w:snapToGrid w:val="0"/>
          <w:sz w:val="18"/>
          <w:szCs w:val="20"/>
        </w:rPr>
        <w:t>年</w:t>
      </w:r>
      <w:r w:rsidRPr="00580B5D">
        <w:rPr>
          <w:rFonts w:asciiTheme="minorEastAsia" w:eastAsiaTheme="minorEastAsia" w:hAnsiTheme="minorEastAsia" w:cs="Arial"/>
          <w:snapToGrid w:val="0"/>
          <w:sz w:val="18"/>
          <w:szCs w:val="20"/>
        </w:rPr>
        <w:t>12</w:t>
      </w:r>
      <w:r w:rsidRPr="00580B5D">
        <w:rPr>
          <w:rFonts w:asciiTheme="minorEastAsia" w:eastAsiaTheme="minorEastAsia" w:hAnsiTheme="minorEastAsia" w:cs="Arial" w:hint="eastAsia"/>
          <w:snapToGrid w:val="0"/>
          <w:sz w:val="18"/>
          <w:szCs w:val="20"/>
        </w:rPr>
        <w:t>月</w:t>
      </w:r>
      <w:r w:rsidRPr="00580B5D">
        <w:rPr>
          <w:rFonts w:asciiTheme="minorEastAsia" w:eastAsiaTheme="minorEastAsia" w:hAnsiTheme="minorEastAsia" w:cs="Arial"/>
          <w:snapToGrid w:val="0"/>
          <w:sz w:val="18"/>
          <w:szCs w:val="20"/>
        </w:rPr>
        <w:t>31</w:t>
      </w:r>
      <w:r w:rsidRPr="00580B5D">
        <w:rPr>
          <w:rFonts w:asciiTheme="minorEastAsia" w:eastAsiaTheme="minorEastAsia" w:hAnsiTheme="minorEastAsia" w:cs="Arial" w:hint="eastAsia"/>
          <w:snapToGrid w:val="0"/>
          <w:sz w:val="18"/>
          <w:szCs w:val="20"/>
        </w:rPr>
        <w:t>日</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重分类</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t>2017</w:t>
      </w:r>
      <w:r w:rsidRPr="00580B5D">
        <w:rPr>
          <w:rFonts w:asciiTheme="minorEastAsia" w:eastAsiaTheme="minorEastAsia" w:hAnsiTheme="minorEastAsia" w:cs="Arial" w:hint="eastAsia"/>
          <w:snapToGrid w:val="0"/>
          <w:sz w:val="18"/>
          <w:szCs w:val="20"/>
        </w:rPr>
        <w:t>年</w:t>
      </w:r>
      <w:r w:rsidRPr="00580B5D">
        <w:rPr>
          <w:rFonts w:asciiTheme="minorEastAsia" w:eastAsiaTheme="minorEastAsia" w:hAnsiTheme="minorEastAsia" w:cs="Arial"/>
          <w:snapToGrid w:val="0"/>
          <w:sz w:val="18"/>
          <w:szCs w:val="20"/>
        </w:rPr>
        <w:t>12</w:t>
      </w:r>
      <w:r w:rsidRPr="00580B5D">
        <w:rPr>
          <w:rFonts w:asciiTheme="minorEastAsia" w:eastAsiaTheme="minorEastAsia" w:hAnsiTheme="minorEastAsia" w:cs="Arial" w:hint="eastAsia"/>
          <w:snapToGrid w:val="0"/>
          <w:sz w:val="18"/>
          <w:szCs w:val="20"/>
        </w:rPr>
        <w:t>月</w:t>
      </w:r>
      <w:r w:rsidRPr="00580B5D">
        <w:rPr>
          <w:rFonts w:asciiTheme="minorEastAsia" w:eastAsiaTheme="minorEastAsia" w:hAnsiTheme="minorEastAsia" w:cs="Arial"/>
          <w:snapToGrid w:val="0"/>
          <w:sz w:val="18"/>
          <w:szCs w:val="20"/>
        </w:rPr>
        <w:t>31</w:t>
      </w:r>
      <w:r w:rsidRPr="00580B5D">
        <w:rPr>
          <w:rFonts w:asciiTheme="minorEastAsia" w:eastAsiaTheme="minorEastAsia" w:hAnsiTheme="minorEastAsia" w:cs="Arial" w:hint="eastAsia"/>
          <w:snapToGrid w:val="0"/>
          <w:sz w:val="18"/>
          <w:szCs w:val="20"/>
        </w:rPr>
        <w:t>日</w:t>
      </w:r>
    </w:p>
    <w:p w:rsidR="00541E00" w:rsidRPr="00580B5D" w:rsidRDefault="00541E00" w:rsidP="00541E00">
      <w:pPr>
        <w:overflowPunct w:val="0"/>
        <w:autoSpaceDE w:val="0"/>
        <w:autoSpaceDN w:val="0"/>
        <w:adjustRightInd w:val="0"/>
        <w:snapToGrid w:val="0"/>
        <w:ind w:left="720" w:hanging="720"/>
        <w:rPr>
          <w:rFonts w:asciiTheme="minorEastAsia" w:eastAsiaTheme="minorEastAsia" w:hAnsiTheme="minorEastAsia" w:cs="Arial"/>
          <w:snapToGrid w:val="0"/>
          <w:sz w:val="16"/>
          <w:szCs w:val="16"/>
        </w:rPr>
      </w:pPr>
    </w:p>
    <w:p w:rsidR="00541E00" w:rsidRPr="00580B5D" w:rsidRDefault="00541E00" w:rsidP="00541E00">
      <w:pPr>
        <w:tabs>
          <w:tab w:val="left" w:pos="720"/>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20"/>
          <w:szCs w:val="20"/>
        </w:rPr>
      </w:pPr>
      <w:r w:rsidRPr="00580B5D">
        <w:rPr>
          <w:rFonts w:asciiTheme="minorEastAsia" w:eastAsiaTheme="minorEastAsia" w:hAnsiTheme="minorEastAsia" w:cs="Arial" w:hint="eastAsia"/>
          <w:snapToGrid w:val="0"/>
          <w:sz w:val="20"/>
          <w:szCs w:val="20"/>
        </w:rPr>
        <w:t>资产</w:t>
      </w:r>
    </w:p>
    <w:p w:rsidR="00541E00" w:rsidRPr="00580B5D" w:rsidRDefault="00541E00" w:rsidP="00541E00">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应收票据</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3,200,366,630</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(3,200,366,630)</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41E00" w:rsidRPr="00580B5D" w:rsidRDefault="00541E00" w:rsidP="00541E00">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9,604,252,998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(9,604,252,998)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41E00" w:rsidRPr="00580B5D" w:rsidRDefault="00541E00" w:rsidP="00541E00">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应收票据及应收账款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12,804,619,628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12,804,619,628</w:t>
      </w:r>
    </w:p>
    <w:p w:rsidR="00541E00" w:rsidRPr="00580B5D" w:rsidRDefault="00541E00" w:rsidP="00541E00">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应收利息</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169,985,118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(169,985,118)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41E00" w:rsidRPr="00580B5D" w:rsidRDefault="00541E00" w:rsidP="00541E00">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其他应收款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r>
      <w:r w:rsidR="00E405E7" w:rsidRPr="00E405E7">
        <w:rPr>
          <w:rFonts w:asciiTheme="minorEastAsia" w:eastAsiaTheme="minorEastAsia" w:hAnsiTheme="minorEastAsia" w:cs="Arial"/>
          <w:snapToGrid w:val="0"/>
          <w:sz w:val="17"/>
          <w:szCs w:val="17"/>
          <w:u w:val="single"/>
        </w:rPr>
        <w:t>4,782,476,040</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169,985,118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4,952,4</w:t>
      </w:r>
      <w:r w:rsidR="004872CF">
        <w:rPr>
          <w:rFonts w:asciiTheme="minorEastAsia" w:eastAsiaTheme="minorEastAsia" w:hAnsiTheme="minorEastAsia" w:cs="Arial" w:hint="eastAsia"/>
          <w:snapToGrid w:val="0"/>
          <w:sz w:val="17"/>
          <w:szCs w:val="17"/>
          <w:u w:val="single"/>
        </w:rPr>
        <w:t>61</w:t>
      </w:r>
      <w:r w:rsidRPr="00580B5D">
        <w:rPr>
          <w:rFonts w:asciiTheme="minorEastAsia" w:eastAsiaTheme="minorEastAsia" w:hAnsiTheme="minorEastAsia" w:cs="Arial"/>
          <w:snapToGrid w:val="0"/>
          <w:sz w:val="17"/>
          <w:szCs w:val="17"/>
          <w:u w:val="single"/>
        </w:rPr>
        <w:t>,</w:t>
      </w:r>
      <w:r w:rsidR="004872CF">
        <w:rPr>
          <w:rFonts w:asciiTheme="minorEastAsia" w:eastAsiaTheme="minorEastAsia" w:hAnsiTheme="minorEastAsia" w:cs="Arial" w:hint="eastAsia"/>
          <w:snapToGrid w:val="0"/>
          <w:sz w:val="17"/>
          <w:szCs w:val="17"/>
          <w:u w:val="single"/>
        </w:rPr>
        <w:t>158</w:t>
      </w:r>
    </w:p>
    <w:p w:rsidR="00580B5D" w:rsidRPr="00580B5D" w:rsidRDefault="00580B5D">
      <w:pPr>
        <w:widowControl/>
        <w:jc w:val="left"/>
        <w:rPr>
          <w:rFonts w:asciiTheme="minorEastAsia" w:eastAsiaTheme="minorEastAsia" w:hAnsiTheme="minorEastAsia"/>
        </w:rPr>
      </w:pPr>
    </w:p>
    <w:p w:rsidR="00580B5D" w:rsidRPr="00580B5D" w:rsidRDefault="00580B5D" w:rsidP="00580B5D">
      <w:pPr>
        <w:tabs>
          <w:tab w:val="right" w:pos="3960"/>
          <w:tab w:val="right" w:pos="5400"/>
          <w:tab w:val="right" w:pos="6789"/>
          <w:tab w:val="right" w:pos="8329"/>
        </w:tabs>
        <w:overflowPunct w:val="0"/>
        <w:autoSpaceDE w:val="0"/>
        <w:autoSpaceDN w:val="0"/>
        <w:adjustRightInd w:val="0"/>
        <w:snapToGrid w:val="0"/>
        <w:ind w:left="720" w:hanging="720"/>
        <w:textAlignment w:val="bottom"/>
        <w:rPr>
          <w:rFonts w:asciiTheme="minorEastAsia" w:eastAsiaTheme="minorEastAsia" w:hAnsiTheme="minorEastAsia" w:cs="Arial"/>
          <w:snapToGrid w:val="0"/>
          <w:sz w:val="18"/>
          <w:szCs w:val="20"/>
        </w:rPr>
      </w:pP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合并资产负债表</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会计政策变更前</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会计政策变更后</w:t>
      </w:r>
    </w:p>
    <w:p w:rsidR="00580B5D" w:rsidRPr="00580B5D" w:rsidRDefault="00580B5D" w:rsidP="00580B5D">
      <w:pPr>
        <w:tabs>
          <w:tab w:val="right" w:pos="3720"/>
          <w:tab w:val="right" w:pos="5400"/>
          <w:tab w:val="right" w:pos="6789"/>
          <w:tab w:val="left" w:pos="6845"/>
          <w:tab w:val="right" w:pos="8280"/>
        </w:tabs>
        <w:overflowPunct w:val="0"/>
        <w:autoSpaceDE w:val="0"/>
        <w:autoSpaceDN w:val="0"/>
        <w:adjustRightInd w:val="0"/>
        <w:snapToGrid w:val="0"/>
        <w:ind w:left="720" w:hanging="720"/>
        <w:textAlignment w:val="bottom"/>
        <w:rPr>
          <w:rFonts w:asciiTheme="minorEastAsia" w:eastAsiaTheme="minorEastAsia" w:hAnsiTheme="minorEastAsia" w:cs="Arial"/>
          <w:snapToGrid w:val="0"/>
          <w:sz w:val="18"/>
          <w:szCs w:val="20"/>
        </w:rPr>
      </w:pP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t>2017</w:t>
      </w:r>
      <w:r w:rsidRPr="00580B5D">
        <w:rPr>
          <w:rFonts w:asciiTheme="minorEastAsia" w:eastAsiaTheme="minorEastAsia" w:hAnsiTheme="minorEastAsia" w:cs="Arial" w:hint="eastAsia"/>
          <w:snapToGrid w:val="0"/>
          <w:sz w:val="18"/>
          <w:szCs w:val="20"/>
        </w:rPr>
        <w:t>年</w:t>
      </w:r>
      <w:r w:rsidRPr="00580B5D">
        <w:rPr>
          <w:rFonts w:asciiTheme="minorEastAsia" w:eastAsiaTheme="minorEastAsia" w:hAnsiTheme="minorEastAsia" w:cs="Arial"/>
          <w:snapToGrid w:val="0"/>
          <w:sz w:val="18"/>
          <w:szCs w:val="20"/>
        </w:rPr>
        <w:t>12</w:t>
      </w:r>
      <w:r w:rsidRPr="00580B5D">
        <w:rPr>
          <w:rFonts w:asciiTheme="minorEastAsia" w:eastAsiaTheme="minorEastAsia" w:hAnsiTheme="minorEastAsia" w:cs="Arial" w:hint="eastAsia"/>
          <w:snapToGrid w:val="0"/>
          <w:sz w:val="18"/>
          <w:szCs w:val="20"/>
        </w:rPr>
        <w:t>月</w:t>
      </w:r>
      <w:r w:rsidRPr="00580B5D">
        <w:rPr>
          <w:rFonts w:asciiTheme="minorEastAsia" w:eastAsiaTheme="minorEastAsia" w:hAnsiTheme="minorEastAsia" w:cs="Arial"/>
          <w:snapToGrid w:val="0"/>
          <w:sz w:val="18"/>
          <w:szCs w:val="20"/>
        </w:rPr>
        <w:t>31</w:t>
      </w:r>
      <w:r w:rsidRPr="00580B5D">
        <w:rPr>
          <w:rFonts w:asciiTheme="minorEastAsia" w:eastAsiaTheme="minorEastAsia" w:hAnsiTheme="minorEastAsia" w:cs="Arial" w:hint="eastAsia"/>
          <w:snapToGrid w:val="0"/>
          <w:sz w:val="18"/>
          <w:szCs w:val="20"/>
        </w:rPr>
        <w:t>日</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重分类</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t>2017</w:t>
      </w:r>
      <w:r w:rsidRPr="00580B5D">
        <w:rPr>
          <w:rFonts w:asciiTheme="minorEastAsia" w:eastAsiaTheme="minorEastAsia" w:hAnsiTheme="minorEastAsia" w:cs="Arial" w:hint="eastAsia"/>
          <w:snapToGrid w:val="0"/>
          <w:sz w:val="18"/>
          <w:szCs w:val="20"/>
        </w:rPr>
        <w:t>年</w:t>
      </w:r>
      <w:r w:rsidRPr="00580B5D">
        <w:rPr>
          <w:rFonts w:asciiTheme="minorEastAsia" w:eastAsiaTheme="minorEastAsia" w:hAnsiTheme="minorEastAsia" w:cs="Arial"/>
          <w:snapToGrid w:val="0"/>
          <w:sz w:val="18"/>
          <w:szCs w:val="20"/>
        </w:rPr>
        <w:t>12</w:t>
      </w:r>
      <w:r w:rsidRPr="00580B5D">
        <w:rPr>
          <w:rFonts w:asciiTheme="minorEastAsia" w:eastAsiaTheme="minorEastAsia" w:hAnsiTheme="minorEastAsia" w:cs="Arial" w:hint="eastAsia"/>
          <w:snapToGrid w:val="0"/>
          <w:sz w:val="18"/>
          <w:szCs w:val="20"/>
        </w:rPr>
        <w:t>月</w:t>
      </w:r>
      <w:r w:rsidRPr="00580B5D">
        <w:rPr>
          <w:rFonts w:asciiTheme="minorEastAsia" w:eastAsiaTheme="minorEastAsia" w:hAnsiTheme="minorEastAsia" w:cs="Arial"/>
          <w:snapToGrid w:val="0"/>
          <w:sz w:val="18"/>
          <w:szCs w:val="20"/>
        </w:rPr>
        <w:t>31</w:t>
      </w:r>
      <w:r w:rsidRPr="00580B5D">
        <w:rPr>
          <w:rFonts w:asciiTheme="minorEastAsia" w:eastAsiaTheme="minorEastAsia" w:hAnsiTheme="minorEastAsia" w:cs="Arial" w:hint="eastAsia"/>
          <w:snapToGrid w:val="0"/>
          <w:sz w:val="18"/>
          <w:szCs w:val="20"/>
        </w:rPr>
        <w:t>日</w:t>
      </w:r>
    </w:p>
    <w:p w:rsidR="00580B5D" w:rsidRPr="00580B5D" w:rsidRDefault="00580B5D" w:rsidP="00580B5D">
      <w:pPr>
        <w:overflowPunct w:val="0"/>
        <w:autoSpaceDE w:val="0"/>
        <w:autoSpaceDN w:val="0"/>
        <w:adjustRightInd w:val="0"/>
        <w:snapToGrid w:val="0"/>
        <w:ind w:left="720" w:hanging="720"/>
        <w:rPr>
          <w:rFonts w:asciiTheme="minorEastAsia" w:eastAsiaTheme="minorEastAsia" w:hAnsiTheme="minorEastAsia" w:cs="Arial"/>
          <w:snapToGrid w:val="0"/>
          <w:sz w:val="16"/>
          <w:szCs w:val="16"/>
        </w:rPr>
      </w:pP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应付票据</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1,033,843,222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(1,033,843,222)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6,847,564,285</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(6,847,564,285)</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应付票据及应付账款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7,881,407,507</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7,881,407,507</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应付利息</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165,7</w:t>
      </w:r>
      <w:r w:rsidR="004872CF">
        <w:rPr>
          <w:rFonts w:asciiTheme="minorEastAsia" w:eastAsiaTheme="minorEastAsia" w:hAnsiTheme="minorEastAsia" w:cs="Arial" w:hint="eastAsia"/>
          <w:snapToGrid w:val="0"/>
          <w:sz w:val="17"/>
          <w:szCs w:val="17"/>
        </w:rPr>
        <w:t>51</w:t>
      </w:r>
      <w:r w:rsidRPr="00580B5D">
        <w:rPr>
          <w:rFonts w:asciiTheme="minorEastAsia" w:eastAsiaTheme="minorEastAsia" w:hAnsiTheme="minorEastAsia" w:cs="Arial"/>
          <w:snapToGrid w:val="0"/>
          <w:sz w:val="17"/>
          <w:szCs w:val="17"/>
        </w:rPr>
        <w:t>,</w:t>
      </w:r>
      <w:r w:rsidR="004872CF">
        <w:rPr>
          <w:rFonts w:asciiTheme="minorEastAsia" w:eastAsiaTheme="minorEastAsia" w:hAnsiTheme="minorEastAsia" w:cs="Arial" w:hint="eastAsia"/>
          <w:snapToGrid w:val="0"/>
          <w:sz w:val="17"/>
          <w:szCs w:val="17"/>
        </w:rPr>
        <w:t>833</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r w:rsidR="004872CF" w:rsidRPr="004872CF">
        <w:rPr>
          <w:rFonts w:asciiTheme="minorEastAsia" w:eastAsiaTheme="minorEastAsia" w:hAnsiTheme="minorEastAsia" w:cs="Arial"/>
          <w:snapToGrid w:val="0"/>
          <w:sz w:val="17"/>
          <w:szCs w:val="17"/>
        </w:rPr>
        <w:t>165,751,833</w:t>
      </w:r>
      <w:r w:rsidRPr="00580B5D">
        <w:rPr>
          <w:rFonts w:asciiTheme="minorEastAsia" w:eastAsiaTheme="minorEastAsia" w:hAnsiTheme="minorEastAsia" w:cs="Arial"/>
          <w:snapToGrid w:val="0"/>
          <w:sz w:val="17"/>
          <w:szCs w:val="17"/>
        </w:rPr>
        <w:t>)</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u w:val="single"/>
        </w:rPr>
      </w:pPr>
      <w:r w:rsidRPr="00580B5D">
        <w:rPr>
          <w:rFonts w:asciiTheme="minorEastAsia" w:eastAsiaTheme="minorEastAsia" w:hAnsiTheme="minorEastAsia" w:cs="Arial" w:hint="eastAsia"/>
          <w:snapToGrid w:val="0"/>
          <w:sz w:val="17"/>
          <w:szCs w:val="17"/>
        </w:rPr>
        <w:t>其他应付款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r>
      <w:r w:rsidRPr="00580B5D">
        <w:rPr>
          <w:rFonts w:asciiTheme="minorEastAsia" w:eastAsiaTheme="minorEastAsia" w:hAnsiTheme="minorEastAsia" w:cs="Arial"/>
          <w:snapToGrid w:val="0"/>
          <w:sz w:val="17"/>
          <w:szCs w:val="17"/>
          <w:u w:val="single"/>
        </w:rPr>
        <w:tab/>
      </w:r>
      <w:r w:rsidR="004872CF" w:rsidRPr="004872CF">
        <w:rPr>
          <w:rFonts w:asciiTheme="minorEastAsia" w:eastAsiaTheme="minorEastAsia" w:hAnsiTheme="minorEastAsia" w:cs="Arial"/>
          <w:snapToGrid w:val="0"/>
          <w:sz w:val="17"/>
          <w:szCs w:val="17"/>
          <w:u w:val="single"/>
        </w:rPr>
        <w:t>1,712,471,38</w:t>
      </w:r>
      <w:r w:rsidR="004872CF">
        <w:rPr>
          <w:rFonts w:asciiTheme="minorEastAsia" w:eastAsiaTheme="minorEastAsia" w:hAnsiTheme="minorEastAsia" w:cs="Arial" w:hint="eastAsia"/>
          <w:snapToGrid w:val="0"/>
          <w:sz w:val="17"/>
          <w:szCs w:val="17"/>
          <w:u w:val="single"/>
        </w:rPr>
        <w:t>3</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r>
      <w:r w:rsidR="004872CF" w:rsidRPr="004872CF">
        <w:rPr>
          <w:rFonts w:asciiTheme="minorEastAsia" w:eastAsiaTheme="minorEastAsia" w:hAnsiTheme="minorEastAsia" w:cs="Arial"/>
          <w:snapToGrid w:val="0"/>
          <w:sz w:val="17"/>
          <w:szCs w:val="17"/>
          <w:u w:val="single"/>
        </w:rPr>
        <w:t>165,751,833</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1,87</w:t>
      </w:r>
      <w:r w:rsidR="004872CF">
        <w:rPr>
          <w:rFonts w:asciiTheme="minorEastAsia" w:eastAsiaTheme="minorEastAsia" w:hAnsiTheme="minorEastAsia" w:cs="Arial" w:hint="eastAsia"/>
          <w:snapToGrid w:val="0"/>
          <w:sz w:val="17"/>
          <w:szCs w:val="17"/>
          <w:u w:val="single"/>
        </w:rPr>
        <w:t>8</w:t>
      </w:r>
      <w:r w:rsidRPr="00580B5D">
        <w:rPr>
          <w:rFonts w:asciiTheme="minorEastAsia" w:eastAsiaTheme="minorEastAsia" w:hAnsiTheme="minorEastAsia" w:cs="Arial"/>
          <w:snapToGrid w:val="0"/>
          <w:sz w:val="17"/>
          <w:szCs w:val="17"/>
          <w:u w:val="single"/>
        </w:rPr>
        <w:t>,</w:t>
      </w:r>
      <w:r w:rsidR="004872CF">
        <w:rPr>
          <w:rFonts w:asciiTheme="minorEastAsia" w:eastAsiaTheme="minorEastAsia" w:hAnsiTheme="minorEastAsia" w:cs="Arial" w:hint="eastAsia"/>
          <w:snapToGrid w:val="0"/>
          <w:sz w:val="17"/>
          <w:szCs w:val="17"/>
          <w:u w:val="single"/>
        </w:rPr>
        <w:t>223</w:t>
      </w:r>
      <w:r w:rsidRPr="00580B5D">
        <w:rPr>
          <w:rFonts w:asciiTheme="minorEastAsia" w:eastAsiaTheme="minorEastAsia" w:hAnsiTheme="minorEastAsia" w:cs="Arial"/>
          <w:snapToGrid w:val="0"/>
          <w:sz w:val="17"/>
          <w:szCs w:val="17"/>
          <w:u w:val="single"/>
        </w:rPr>
        <w:t>,</w:t>
      </w:r>
      <w:r w:rsidR="004872CF">
        <w:rPr>
          <w:rFonts w:asciiTheme="minorEastAsia" w:eastAsiaTheme="minorEastAsia" w:hAnsiTheme="minorEastAsia" w:cs="Arial" w:hint="eastAsia"/>
          <w:snapToGrid w:val="0"/>
          <w:sz w:val="17"/>
          <w:szCs w:val="17"/>
          <w:u w:val="single"/>
        </w:rPr>
        <w:t>216</w:t>
      </w:r>
    </w:p>
    <w:p w:rsidR="00580B5D" w:rsidRPr="00580B5D" w:rsidRDefault="00580B5D" w:rsidP="00580B5D">
      <w:pPr>
        <w:overflowPunct w:val="0"/>
        <w:autoSpaceDE w:val="0"/>
        <w:autoSpaceDN w:val="0"/>
        <w:adjustRightInd w:val="0"/>
        <w:snapToGrid w:val="0"/>
        <w:ind w:left="720"/>
        <w:textAlignment w:val="bottom"/>
        <w:rPr>
          <w:rFonts w:asciiTheme="minorEastAsia" w:eastAsiaTheme="minorEastAsia" w:hAnsiTheme="minorEastAsia" w:cs="Arial"/>
          <w:snapToGrid w:val="0"/>
        </w:rPr>
      </w:pPr>
    </w:p>
    <w:p w:rsidR="00580B5D" w:rsidRPr="00580B5D" w:rsidRDefault="00580B5D" w:rsidP="00580B5D">
      <w:pPr>
        <w:tabs>
          <w:tab w:val="right" w:pos="3960"/>
          <w:tab w:val="right" w:pos="5400"/>
          <w:tab w:val="right" w:pos="6789"/>
          <w:tab w:val="right" w:pos="8329"/>
        </w:tabs>
        <w:overflowPunct w:val="0"/>
        <w:autoSpaceDE w:val="0"/>
        <w:autoSpaceDN w:val="0"/>
        <w:adjustRightInd w:val="0"/>
        <w:snapToGrid w:val="0"/>
        <w:ind w:left="720" w:hanging="720"/>
        <w:textAlignment w:val="bottom"/>
        <w:rPr>
          <w:rFonts w:asciiTheme="minorEastAsia" w:eastAsiaTheme="minorEastAsia" w:hAnsiTheme="minorEastAsia" w:cs="Arial"/>
          <w:snapToGrid w:val="0"/>
          <w:sz w:val="18"/>
          <w:szCs w:val="20"/>
        </w:rPr>
      </w:pP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母公司资产负债表</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会计政策变更前</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会计政策变更后</w:t>
      </w:r>
    </w:p>
    <w:p w:rsidR="00580B5D" w:rsidRPr="00580B5D" w:rsidRDefault="00580B5D" w:rsidP="00580B5D">
      <w:pPr>
        <w:tabs>
          <w:tab w:val="right" w:pos="3720"/>
          <w:tab w:val="right" w:pos="5400"/>
          <w:tab w:val="right" w:pos="6789"/>
          <w:tab w:val="left" w:pos="6845"/>
          <w:tab w:val="right" w:pos="8280"/>
        </w:tabs>
        <w:overflowPunct w:val="0"/>
        <w:autoSpaceDE w:val="0"/>
        <w:autoSpaceDN w:val="0"/>
        <w:adjustRightInd w:val="0"/>
        <w:snapToGrid w:val="0"/>
        <w:ind w:left="720" w:hanging="720"/>
        <w:textAlignment w:val="bottom"/>
        <w:rPr>
          <w:rFonts w:asciiTheme="minorEastAsia" w:eastAsiaTheme="minorEastAsia" w:hAnsiTheme="minorEastAsia" w:cs="Arial"/>
          <w:snapToGrid w:val="0"/>
          <w:sz w:val="18"/>
          <w:szCs w:val="20"/>
        </w:rPr>
      </w:pP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t>2017</w:t>
      </w:r>
      <w:r w:rsidRPr="00580B5D">
        <w:rPr>
          <w:rFonts w:asciiTheme="minorEastAsia" w:eastAsiaTheme="minorEastAsia" w:hAnsiTheme="minorEastAsia" w:cs="Arial" w:hint="eastAsia"/>
          <w:snapToGrid w:val="0"/>
          <w:sz w:val="18"/>
          <w:szCs w:val="20"/>
        </w:rPr>
        <w:t>年</w:t>
      </w:r>
      <w:r w:rsidRPr="00580B5D">
        <w:rPr>
          <w:rFonts w:asciiTheme="minorEastAsia" w:eastAsiaTheme="minorEastAsia" w:hAnsiTheme="minorEastAsia" w:cs="Arial"/>
          <w:snapToGrid w:val="0"/>
          <w:sz w:val="18"/>
          <w:szCs w:val="20"/>
        </w:rPr>
        <w:t>12</w:t>
      </w:r>
      <w:r w:rsidRPr="00580B5D">
        <w:rPr>
          <w:rFonts w:asciiTheme="minorEastAsia" w:eastAsiaTheme="minorEastAsia" w:hAnsiTheme="minorEastAsia" w:cs="Arial" w:hint="eastAsia"/>
          <w:snapToGrid w:val="0"/>
          <w:sz w:val="18"/>
          <w:szCs w:val="20"/>
        </w:rPr>
        <w:t>月</w:t>
      </w:r>
      <w:r w:rsidRPr="00580B5D">
        <w:rPr>
          <w:rFonts w:asciiTheme="minorEastAsia" w:eastAsiaTheme="minorEastAsia" w:hAnsiTheme="minorEastAsia" w:cs="Arial"/>
          <w:snapToGrid w:val="0"/>
          <w:sz w:val="18"/>
          <w:szCs w:val="20"/>
        </w:rPr>
        <w:t>31</w:t>
      </w:r>
      <w:r w:rsidRPr="00580B5D">
        <w:rPr>
          <w:rFonts w:asciiTheme="minorEastAsia" w:eastAsiaTheme="minorEastAsia" w:hAnsiTheme="minorEastAsia" w:cs="Arial" w:hint="eastAsia"/>
          <w:snapToGrid w:val="0"/>
          <w:sz w:val="18"/>
          <w:szCs w:val="20"/>
        </w:rPr>
        <w:t>日</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hint="eastAsia"/>
          <w:snapToGrid w:val="0"/>
          <w:sz w:val="18"/>
          <w:szCs w:val="20"/>
        </w:rPr>
        <w:t>重分类</w:t>
      </w:r>
      <w:r w:rsidRPr="00580B5D">
        <w:rPr>
          <w:rFonts w:asciiTheme="minorEastAsia" w:eastAsiaTheme="minorEastAsia" w:hAnsiTheme="minorEastAsia" w:cs="Arial"/>
          <w:snapToGrid w:val="0"/>
          <w:sz w:val="18"/>
          <w:szCs w:val="20"/>
        </w:rPr>
        <w:tab/>
      </w:r>
      <w:r w:rsidRPr="00580B5D">
        <w:rPr>
          <w:rFonts w:asciiTheme="minorEastAsia" w:eastAsiaTheme="minorEastAsia" w:hAnsiTheme="minorEastAsia" w:cs="Arial"/>
          <w:snapToGrid w:val="0"/>
          <w:sz w:val="18"/>
          <w:szCs w:val="20"/>
        </w:rPr>
        <w:tab/>
        <w:t>2017</w:t>
      </w:r>
      <w:r w:rsidRPr="00580B5D">
        <w:rPr>
          <w:rFonts w:asciiTheme="minorEastAsia" w:eastAsiaTheme="minorEastAsia" w:hAnsiTheme="minorEastAsia" w:cs="Arial" w:hint="eastAsia"/>
          <w:snapToGrid w:val="0"/>
          <w:sz w:val="18"/>
          <w:szCs w:val="20"/>
        </w:rPr>
        <w:t>年</w:t>
      </w:r>
      <w:r w:rsidRPr="00580B5D">
        <w:rPr>
          <w:rFonts w:asciiTheme="minorEastAsia" w:eastAsiaTheme="minorEastAsia" w:hAnsiTheme="minorEastAsia" w:cs="Arial"/>
          <w:snapToGrid w:val="0"/>
          <w:sz w:val="18"/>
          <w:szCs w:val="20"/>
        </w:rPr>
        <w:t>12</w:t>
      </w:r>
      <w:r w:rsidRPr="00580B5D">
        <w:rPr>
          <w:rFonts w:asciiTheme="minorEastAsia" w:eastAsiaTheme="minorEastAsia" w:hAnsiTheme="minorEastAsia" w:cs="Arial" w:hint="eastAsia"/>
          <w:snapToGrid w:val="0"/>
          <w:sz w:val="18"/>
          <w:szCs w:val="20"/>
        </w:rPr>
        <w:t>月</w:t>
      </w:r>
      <w:r w:rsidRPr="00580B5D">
        <w:rPr>
          <w:rFonts w:asciiTheme="minorEastAsia" w:eastAsiaTheme="minorEastAsia" w:hAnsiTheme="minorEastAsia" w:cs="Arial"/>
          <w:snapToGrid w:val="0"/>
          <w:sz w:val="18"/>
          <w:szCs w:val="20"/>
        </w:rPr>
        <w:t>31</w:t>
      </w:r>
      <w:r w:rsidRPr="00580B5D">
        <w:rPr>
          <w:rFonts w:asciiTheme="minorEastAsia" w:eastAsiaTheme="minorEastAsia" w:hAnsiTheme="minorEastAsia" w:cs="Arial" w:hint="eastAsia"/>
          <w:snapToGrid w:val="0"/>
          <w:sz w:val="18"/>
          <w:szCs w:val="20"/>
        </w:rPr>
        <w:t>日</w:t>
      </w:r>
    </w:p>
    <w:p w:rsidR="00580B5D" w:rsidRPr="00580B5D" w:rsidRDefault="00580B5D" w:rsidP="00580B5D">
      <w:pPr>
        <w:overflowPunct w:val="0"/>
        <w:autoSpaceDE w:val="0"/>
        <w:autoSpaceDN w:val="0"/>
        <w:adjustRightInd w:val="0"/>
        <w:snapToGrid w:val="0"/>
        <w:ind w:left="720" w:hanging="720"/>
        <w:rPr>
          <w:rFonts w:asciiTheme="minorEastAsia" w:eastAsiaTheme="minorEastAsia" w:hAnsiTheme="minorEastAsia" w:cs="Arial"/>
          <w:snapToGrid w:val="0"/>
          <w:sz w:val="16"/>
          <w:szCs w:val="16"/>
        </w:rPr>
      </w:pPr>
    </w:p>
    <w:p w:rsidR="00580B5D" w:rsidRPr="00580B5D" w:rsidRDefault="00580B5D" w:rsidP="00580B5D">
      <w:pPr>
        <w:tabs>
          <w:tab w:val="left" w:pos="720"/>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资产</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应收票据</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3,390,660,352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(3,390,660,352)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6,076,234,415</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(6,076,234,415)</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应收票据及应收账款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9,466,894,767</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9,466,894,767</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应收利息</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2,981,268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(2,981,268)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其他应收款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1,342,705,506</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2,981,268</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1,345,686,774</w:t>
      </w:r>
    </w:p>
    <w:p w:rsidR="00580B5D" w:rsidRPr="00580B5D" w:rsidRDefault="00580B5D" w:rsidP="00580B5D">
      <w:pPr>
        <w:overflowPunct w:val="0"/>
        <w:autoSpaceDE w:val="0"/>
        <w:autoSpaceDN w:val="0"/>
        <w:adjustRightInd w:val="0"/>
        <w:snapToGrid w:val="0"/>
        <w:ind w:left="720" w:hanging="720"/>
        <w:rPr>
          <w:rFonts w:asciiTheme="minorEastAsia" w:eastAsiaTheme="minorEastAsia" w:hAnsiTheme="minorEastAsia" w:cs="Arial"/>
          <w:snapToGrid w:val="0"/>
          <w:sz w:val="17"/>
          <w:szCs w:val="17"/>
        </w:rPr>
      </w:pP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1,988,442,632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(1,988,442,632)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应付票据及应付账款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1,988,442,632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1,988,442,632</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rPr>
      </w:pPr>
      <w:r w:rsidRPr="00580B5D">
        <w:rPr>
          <w:rFonts w:asciiTheme="minorEastAsia" w:eastAsiaTheme="minorEastAsia" w:hAnsiTheme="minorEastAsia" w:cs="Arial" w:hint="eastAsia"/>
          <w:snapToGrid w:val="0"/>
          <w:sz w:val="17"/>
          <w:szCs w:val="17"/>
        </w:rPr>
        <w:t>应付利息</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34,658,599</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(34,658,599)</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t>-</w:t>
      </w:r>
    </w:p>
    <w:p w:rsidR="00580B5D" w:rsidRPr="00580B5D" w:rsidRDefault="00580B5D" w:rsidP="00580B5D">
      <w:pPr>
        <w:tabs>
          <w:tab w:val="decimal" w:pos="2760"/>
          <w:tab w:val="decimal" w:pos="3960"/>
          <w:tab w:val="decimal" w:pos="4200"/>
          <w:tab w:val="decimal" w:pos="5400"/>
          <w:tab w:val="decimal" w:pos="5640"/>
          <w:tab w:val="decimal" w:pos="6840"/>
          <w:tab w:val="decimal" w:pos="7080"/>
          <w:tab w:val="decimal" w:pos="8280"/>
        </w:tabs>
        <w:overflowPunct w:val="0"/>
        <w:autoSpaceDE w:val="0"/>
        <w:autoSpaceDN w:val="0"/>
        <w:adjustRightInd w:val="0"/>
        <w:snapToGrid w:val="0"/>
        <w:ind w:left="851" w:hanging="142"/>
        <w:textAlignment w:val="bottom"/>
        <w:rPr>
          <w:rFonts w:asciiTheme="minorEastAsia" w:eastAsiaTheme="minorEastAsia" w:hAnsiTheme="minorEastAsia" w:cs="Arial"/>
          <w:snapToGrid w:val="0"/>
          <w:sz w:val="17"/>
          <w:szCs w:val="17"/>
          <w:u w:val="single"/>
        </w:rPr>
      </w:pPr>
      <w:r w:rsidRPr="00580B5D">
        <w:rPr>
          <w:rFonts w:asciiTheme="minorEastAsia" w:eastAsiaTheme="minorEastAsia" w:hAnsiTheme="minorEastAsia" w:cs="Arial" w:hint="eastAsia"/>
          <w:snapToGrid w:val="0"/>
          <w:sz w:val="17"/>
          <w:szCs w:val="17"/>
        </w:rPr>
        <w:t>其他应付款</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r>
      <w:r w:rsidRPr="00580B5D">
        <w:rPr>
          <w:rFonts w:asciiTheme="minorEastAsia" w:eastAsiaTheme="minorEastAsia" w:hAnsiTheme="minorEastAsia" w:cs="Arial"/>
          <w:snapToGrid w:val="0"/>
          <w:sz w:val="17"/>
          <w:szCs w:val="17"/>
          <w:u w:val="single"/>
        </w:rPr>
        <w:tab/>
        <w:t>1,148,761,132</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34,658,599</w:t>
      </w:r>
      <w:r w:rsidRPr="00580B5D">
        <w:rPr>
          <w:rFonts w:asciiTheme="minorEastAsia" w:eastAsiaTheme="minorEastAsia" w:hAnsiTheme="minorEastAsia" w:cs="Arial"/>
          <w:snapToGrid w:val="0"/>
          <w:sz w:val="17"/>
          <w:szCs w:val="17"/>
        </w:rPr>
        <w:tab/>
      </w:r>
      <w:r w:rsidRPr="00580B5D">
        <w:rPr>
          <w:rFonts w:asciiTheme="minorEastAsia" w:eastAsiaTheme="minorEastAsia" w:hAnsiTheme="minorEastAsia" w:cs="Arial"/>
          <w:snapToGrid w:val="0"/>
          <w:sz w:val="17"/>
          <w:szCs w:val="17"/>
          <w:u w:val="single"/>
        </w:rPr>
        <w:tab/>
        <w:t>1,183,419,731</w:t>
      </w:r>
    </w:p>
    <w:p w:rsidR="00580B5D" w:rsidRPr="00B76011" w:rsidRDefault="00580B5D" w:rsidP="00580B5D">
      <w:pPr>
        <w:overflowPunct w:val="0"/>
        <w:autoSpaceDE w:val="0"/>
        <w:autoSpaceDN w:val="0"/>
        <w:adjustRightInd w:val="0"/>
        <w:snapToGrid w:val="0"/>
        <w:ind w:left="720"/>
        <w:textAlignment w:val="bottom"/>
        <w:rPr>
          <w:rFonts w:ascii="Arial" w:eastAsia="黑体" w:hAnsi="Arial" w:cs="Arial"/>
          <w:snapToGrid w:val="0"/>
        </w:rPr>
      </w:pPr>
    </w:p>
    <w:p w:rsidR="00580B5D"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（二）</w:t>
      </w:r>
      <w:r w:rsidR="00F51963" w:rsidRPr="00A46371">
        <w:rPr>
          <w:rFonts w:asciiTheme="minorEastAsia" w:eastAsiaTheme="minorEastAsia" w:hAnsiTheme="minorEastAsia" w:hint="eastAsia"/>
          <w:kern w:val="0"/>
          <w:sz w:val="24"/>
        </w:rPr>
        <w:t>与资产相关的政府补助的现金流量列报项目变更</w:t>
      </w:r>
    </w:p>
    <w:p w:rsidR="00580B5D" w:rsidRPr="00A46371" w:rsidRDefault="00580B5D"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根据财政部《关于2018年度一般企业财务报表格式有关问题的解读》，编制现金流量表时，将原作为投资活动的</w:t>
      </w:r>
      <w:r w:rsidR="00F51963" w:rsidRPr="00A46371">
        <w:rPr>
          <w:rFonts w:asciiTheme="minorEastAsia" w:eastAsiaTheme="minorEastAsia" w:hAnsiTheme="minorEastAsia" w:hint="eastAsia"/>
          <w:kern w:val="0"/>
          <w:sz w:val="24"/>
        </w:rPr>
        <w:t>与资产相关的政府补助的</w:t>
      </w:r>
      <w:r w:rsidRPr="00A46371">
        <w:rPr>
          <w:rFonts w:asciiTheme="minorEastAsia" w:eastAsiaTheme="minorEastAsia" w:hAnsiTheme="minorEastAsia" w:hint="eastAsia"/>
          <w:kern w:val="0"/>
          <w:sz w:val="24"/>
        </w:rPr>
        <w:t>现金流量，变更作为经营活动的现金流量。本集团相应追溯调整了比较数据。该会计政策变更减</w:t>
      </w:r>
      <w:r w:rsidRPr="00A46371">
        <w:rPr>
          <w:rFonts w:asciiTheme="minorEastAsia" w:eastAsiaTheme="minorEastAsia" w:hAnsiTheme="minorEastAsia" w:hint="eastAsia"/>
          <w:kern w:val="0"/>
          <w:sz w:val="24"/>
        </w:rPr>
        <w:lastRenderedPageBreak/>
        <w:t>少了合并及公司现金流量表中投资活动产生的现金流量净额并以相同金额增加了经营活动现金产生的现金流量净额，但对现金和现金等价物净增加额无影响。</w:t>
      </w:r>
    </w:p>
    <w:p w:rsidR="00A46371" w:rsidRPr="00A46371" w:rsidRDefault="00A46371" w:rsidP="00F13AF3">
      <w:pPr>
        <w:widowControl/>
        <w:spacing w:line="560" w:lineRule="exact"/>
        <w:ind w:firstLineChars="196" w:firstLine="472"/>
        <w:contextualSpacing/>
        <w:outlineLvl w:val="0"/>
        <w:rPr>
          <w:rFonts w:asciiTheme="minorEastAsia" w:eastAsiaTheme="minorEastAsia" w:hAnsiTheme="minorEastAsia"/>
          <w:b/>
          <w:kern w:val="0"/>
          <w:sz w:val="24"/>
        </w:rPr>
      </w:pPr>
      <w:r w:rsidRPr="00A46371">
        <w:rPr>
          <w:rFonts w:asciiTheme="minorEastAsia" w:eastAsiaTheme="minorEastAsia" w:hAnsiTheme="minorEastAsia" w:hint="eastAsia"/>
          <w:b/>
          <w:kern w:val="0"/>
          <w:sz w:val="24"/>
        </w:rPr>
        <w:t>三、独立董事和监事会的意见</w:t>
      </w:r>
    </w:p>
    <w:p w:rsidR="00A46371"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公司独立董事及监事会均同意公司本次会计政策变更，并认为: 本次会计政策变更是根据财政部相关文件规定进行的合理变更，符合财政部、中国证券监督管理委员会和上海证券交易所等监管机构的相关规定，能够更加客观、公允地反映本公司的财务状况和经营成果，符合本公司及其股东的利益。本次会计政策变更的审议程序符合相关法律、法规和《公司章程》的规定。</w:t>
      </w:r>
    </w:p>
    <w:p w:rsidR="00A46371" w:rsidRPr="00A46371" w:rsidRDefault="00A46371" w:rsidP="00F13AF3">
      <w:pPr>
        <w:adjustRightInd w:val="0"/>
        <w:spacing w:line="560" w:lineRule="exact"/>
        <w:ind w:firstLineChars="200" w:firstLine="482"/>
        <w:contextualSpacing/>
        <w:rPr>
          <w:rFonts w:asciiTheme="minorEastAsia" w:eastAsiaTheme="minorEastAsia" w:hAnsiTheme="minorEastAsia"/>
          <w:b/>
          <w:kern w:val="0"/>
          <w:sz w:val="24"/>
        </w:rPr>
      </w:pPr>
      <w:r w:rsidRPr="00A46371">
        <w:rPr>
          <w:rFonts w:asciiTheme="minorEastAsia" w:eastAsiaTheme="minorEastAsia" w:hAnsiTheme="minorEastAsia" w:hint="eastAsia"/>
          <w:b/>
          <w:kern w:val="0"/>
          <w:sz w:val="24"/>
        </w:rPr>
        <w:t>四、上网公告附件</w:t>
      </w:r>
    </w:p>
    <w:p w:rsidR="00A46371"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1、公司第八届董事会第九次会议决议</w:t>
      </w:r>
    </w:p>
    <w:p w:rsidR="00A46371"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1B61B4">
        <w:rPr>
          <w:rFonts w:asciiTheme="minorEastAsia" w:eastAsiaTheme="minorEastAsia" w:hAnsiTheme="minorEastAsia" w:hint="eastAsia"/>
          <w:kern w:val="0"/>
          <w:sz w:val="24"/>
        </w:rPr>
        <w:t>2</w:t>
      </w:r>
      <w:r w:rsidR="00F13AF3" w:rsidRPr="001B61B4">
        <w:rPr>
          <w:rFonts w:asciiTheme="minorEastAsia" w:eastAsiaTheme="minorEastAsia" w:hAnsiTheme="minorEastAsia" w:hint="eastAsia"/>
          <w:kern w:val="0"/>
          <w:sz w:val="24"/>
        </w:rPr>
        <w:t>、</w:t>
      </w:r>
      <w:r w:rsidRPr="001B61B4">
        <w:rPr>
          <w:rFonts w:asciiTheme="minorEastAsia" w:eastAsiaTheme="minorEastAsia" w:hAnsiTheme="minorEastAsia" w:hint="eastAsia"/>
          <w:kern w:val="0"/>
          <w:sz w:val="24"/>
        </w:rPr>
        <w:t>公司第八届监事会第</w:t>
      </w:r>
      <w:r w:rsidR="00F13AF3" w:rsidRPr="001B61B4">
        <w:rPr>
          <w:rFonts w:asciiTheme="minorEastAsia" w:eastAsiaTheme="minorEastAsia" w:hAnsiTheme="minorEastAsia" w:hint="eastAsia"/>
          <w:kern w:val="0"/>
          <w:sz w:val="24"/>
        </w:rPr>
        <w:t>四</w:t>
      </w:r>
      <w:r w:rsidRPr="001B61B4">
        <w:rPr>
          <w:rFonts w:asciiTheme="minorEastAsia" w:eastAsiaTheme="minorEastAsia" w:hAnsiTheme="minorEastAsia" w:hint="eastAsia"/>
          <w:kern w:val="0"/>
          <w:sz w:val="24"/>
        </w:rPr>
        <w:t>次会议决议</w:t>
      </w:r>
    </w:p>
    <w:p w:rsidR="00A46371"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3</w:t>
      </w:r>
      <w:r w:rsidR="00F13AF3">
        <w:rPr>
          <w:rFonts w:asciiTheme="minorEastAsia" w:eastAsiaTheme="minorEastAsia" w:hAnsiTheme="minorEastAsia" w:hint="eastAsia"/>
          <w:kern w:val="0"/>
          <w:sz w:val="24"/>
        </w:rPr>
        <w:t>、</w:t>
      </w:r>
      <w:r w:rsidRPr="00A46371">
        <w:rPr>
          <w:rFonts w:asciiTheme="minorEastAsia" w:eastAsiaTheme="minorEastAsia" w:hAnsiTheme="minorEastAsia" w:hint="eastAsia"/>
          <w:kern w:val="0"/>
          <w:sz w:val="24"/>
        </w:rPr>
        <w:t>江西铜业股份有限公司独立董事关于对第八届董事会第九次会议相关事项的独立意见</w:t>
      </w:r>
    </w:p>
    <w:p w:rsidR="00A46371" w:rsidRP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p>
    <w:p w:rsidR="00A46371" w:rsidRDefault="00A46371" w:rsidP="00F13AF3">
      <w:pPr>
        <w:widowControl/>
        <w:spacing w:line="560" w:lineRule="exact"/>
        <w:ind w:firstLineChars="200" w:firstLine="480"/>
        <w:contextualSpacing/>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特此公告。</w:t>
      </w:r>
    </w:p>
    <w:p w:rsidR="001B61B4" w:rsidRPr="001B61B4" w:rsidRDefault="001B61B4" w:rsidP="00F13AF3">
      <w:pPr>
        <w:widowControl/>
        <w:spacing w:line="560" w:lineRule="exact"/>
        <w:ind w:firstLineChars="200" w:firstLine="480"/>
        <w:contextualSpacing/>
        <w:rPr>
          <w:rFonts w:asciiTheme="minorEastAsia" w:eastAsiaTheme="minorEastAsia" w:hAnsiTheme="minorEastAsia"/>
          <w:kern w:val="0"/>
          <w:sz w:val="24"/>
        </w:rPr>
      </w:pPr>
    </w:p>
    <w:p w:rsidR="00A46371" w:rsidRPr="00A46371" w:rsidRDefault="00A46371" w:rsidP="00F13AF3">
      <w:pPr>
        <w:widowControl/>
        <w:spacing w:line="560" w:lineRule="exact"/>
        <w:ind w:right="480" w:firstLineChars="200" w:firstLine="480"/>
        <w:contextualSpacing/>
        <w:jc w:val="right"/>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江西铜业股份有限公司</w:t>
      </w:r>
    </w:p>
    <w:p w:rsidR="00A46371" w:rsidRPr="00A46371" w:rsidRDefault="00A46371" w:rsidP="00F13AF3">
      <w:pPr>
        <w:widowControl/>
        <w:spacing w:line="560" w:lineRule="exact"/>
        <w:ind w:right="480" w:firstLineChars="200" w:firstLine="480"/>
        <w:contextualSpacing/>
        <w:jc w:val="center"/>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 xml:space="preserve">                                         董事会</w:t>
      </w:r>
    </w:p>
    <w:p w:rsidR="00A46371" w:rsidRPr="00A46371" w:rsidRDefault="00A46371" w:rsidP="00F13AF3">
      <w:pPr>
        <w:widowControl/>
        <w:spacing w:line="560" w:lineRule="exact"/>
        <w:ind w:right="480" w:firstLineChars="200" w:firstLine="480"/>
        <w:contextualSpacing/>
        <w:jc w:val="center"/>
        <w:rPr>
          <w:rFonts w:asciiTheme="minorEastAsia" w:eastAsiaTheme="minorEastAsia" w:hAnsiTheme="minorEastAsia"/>
          <w:kern w:val="0"/>
          <w:sz w:val="24"/>
        </w:rPr>
      </w:pPr>
      <w:r w:rsidRPr="00A46371">
        <w:rPr>
          <w:rFonts w:asciiTheme="minorEastAsia" w:eastAsiaTheme="minorEastAsia" w:hAnsiTheme="minorEastAsia" w:hint="eastAsia"/>
          <w:kern w:val="0"/>
          <w:sz w:val="24"/>
        </w:rPr>
        <w:t xml:space="preserve">                                         2019年3月28日</w:t>
      </w:r>
    </w:p>
    <w:p w:rsidR="00717B66" w:rsidRPr="00A46371" w:rsidRDefault="00717B66" w:rsidP="00F13AF3">
      <w:pPr>
        <w:widowControl/>
        <w:spacing w:line="560" w:lineRule="exact"/>
        <w:ind w:firstLine="200"/>
        <w:contextualSpacing/>
        <w:rPr>
          <w:rFonts w:asciiTheme="minorEastAsia" w:eastAsiaTheme="minorEastAsia" w:hAnsiTheme="minorEastAsia"/>
          <w:kern w:val="0"/>
          <w:sz w:val="24"/>
        </w:rPr>
      </w:pPr>
    </w:p>
    <w:p w:rsidR="00717B66" w:rsidRDefault="00717B66" w:rsidP="00717B66">
      <w:pPr>
        <w:widowControl/>
        <w:spacing w:line="420" w:lineRule="auto"/>
        <w:rPr>
          <w:kern w:val="0"/>
          <w:sz w:val="24"/>
        </w:rPr>
      </w:pPr>
      <w:bookmarkStart w:id="0" w:name="_GoBack"/>
      <w:bookmarkEnd w:id="0"/>
    </w:p>
    <w:sectPr w:rsidR="00717B66" w:rsidSect="00375F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BEC" w:rsidRDefault="00AD0BEC" w:rsidP="00016369">
      <w:r>
        <w:separator/>
      </w:r>
    </w:p>
  </w:endnote>
  <w:endnote w:type="continuationSeparator" w:id="1">
    <w:p w:rsidR="00AD0BEC" w:rsidRDefault="00AD0BEC" w:rsidP="000163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BEC" w:rsidRDefault="00AD0BEC" w:rsidP="00016369">
      <w:r>
        <w:separator/>
      </w:r>
    </w:p>
  </w:footnote>
  <w:footnote w:type="continuationSeparator" w:id="1">
    <w:p w:rsidR="00AD0BEC" w:rsidRDefault="00AD0BEC" w:rsidP="000163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3302D"/>
    <w:multiLevelType w:val="hybridMultilevel"/>
    <w:tmpl w:val="8D406AC0"/>
    <w:lvl w:ilvl="0" w:tplc="9ED837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1556"/>
    <w:rsid w:val="00016369"/>
    <w:rsid w:val="0004657C"/>
    <w:rsid w:val="00075AA1"/>
    <w:rsid w:val="000A341B"/>
    <w:rsid w:val="000E4819"/>
    <w:rsid w:val="000F374E"/>
    <w:rsid w:val="00141EC6"/>
    <w:rsid w:val="00196095"/>
    <w:rsid w:val="001B61B4"/>
    <w:rsid w:val="00204765"/>
    <w:rsid w:val="00254936"/>
    <w:rsid w:val="00296C57"/>
    <w:rsid w:val="00296D70"/>
    <w:rsid w:val="00315E06"/>
    <w:rsid w:val="00325246"/>
    <w:rsid w:val="003664FD"/>
    <w:rsid w:val="00375F17"/>
    <w:rsid w:val="004000F1"/>
    <w:rsid w:val="004308C9"/>
    <w:rsid w:val="004565A9"/>
    <w:rsid w:val="0047309D"/>
    <w:rsid w:val="004872CF"/>
    <w:rsid w:val="00541E00"/>
    <w:rsid w:val="00564EA9"/>
    <w:rsid w:val="00580B5D"/>
    <w:rsid w:val="005F25CD"/>
    <w:rsid w:val="00614479"/>
    <w:rsid w:val="0067592A"/>
    <w:rsid w:val="00692C1F"/>
    <w:rsid w:val="00717B66"/>
    <w:rsid w:val="00721EED"/>
    <w:rsid w:val="0078298C"/>
    <w:rsid w:val="007A7436"/>
    <w:rsid w:val="007F5629"/>
    <w:rsid w:val="008837AB"/>
    <w:rsid w:val="008D7226"/>
    <w:rsid w:val="00906B01"/>
    <w:rsid w:val="00915DD4"/>
    <w:rsid w:val="00930D3A"/>
    <w:rsid w:val="009442B6"/>
    <w:rsid w:val="00953CF0"/>
    <w:rsid w:val="009679D9"/>
    <w:rsid w:val="00A1406F"/>
    <w:rsid w:val="00A25112"/>
    <w:rsid w:val="00A46371"/>
    <w:rsid w:val="00A74EA5"/>
    <w:rsid w:val="00AB2F8D"/>
    <w:rsid w:val="00AD0BEC"/>
    <w:rsid w:val="00B24F5F"/>
    <w:rsid w:val="00B61904"/>
    <w:rsid w:val="00B76D4A"/>
    <w:rsid w:val="00B776DB"/>
    <w:rsid w:val="00B80B89"/>
    <w:rsid w:val="00B943BE"/>
    <w:rsid w:val="00C70B8A"/>
    <w:rsid w:val="00C750A7"/>
    <w:rsid w:val="00C91556"/>
    <w:rsid w:val="00D60658"/>
    <w:rsid w:val="00E036CE"/>
    <w:rsid w:val="00E17A1D"/>
    <w:rsid w:val="00E405E7"/>
    <w:rsid w:val="00F13AF3"/>
    <w:rsid w:val="00F45EE7"/>
    <w:rsid w:val="00F51963"/>
    <w:rsid w:val="00F700D6"/>
    <w:rsid w:val="00F7347C"/>
    <w:rsid w:val="00F83292"/>
    <w:rsid w:val="00FA41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36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6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6369"/>
    <w:rPr>
      <w:sz w:val="18"/>
      <w:szCs w:val="18"/>
    </w:rPr>
  </w:style>
  <w:style w:type="paragraph" w:styleId="a4">
    <w:name w:val="footer"/>
    <w:basedOn w:val="a"/>
    <w:link w:val="Char0"/>
    <w:uiPriority w:val="99"/>
    <w:unhideWhenUsed/>
    <w:rsid w:val="00016369"/>
    <w:pPr>
      <w:tabs>
        <w:tab w:val="center" w:pos="4153"/>
        <w:tab w:val="right" w:pos="8306"/>
      </w:tabs>
      <w:snapToGrid w:val="0"/>
      <w:jc w:val="left"/>
    </w:pPr>
    <w:rPr>
      <w:sz w:val="18"/>
      <w:szCs w:val="18"/>
    </w:rPr>
  </w:style>
  <w:style w:type="character" w:customStyle="1" w:styleId="Char0">
    <w:name w:val="页脚 Char"/>
    <w:basedOn w:val="a0"/>
    <w:link w:val="a4"/>
    <w:uiPriority w:val="99"/>
    <w:rsid w:val="00016369"/>
    <w:rPr>
      <w:sz w:val="18"/>
      <w:szCs w:val="18"/>
    </w:rPr>
  </w:style>
  <w:style w:type="paragraph" w:styleId="a5">
    <w:name w:val="annotation text"/>
    <w:basedOn w:val="a"/>
    <w:link w:val="Char1"/>
    <w:uiPriority w:val="99"/>
    <w:semiHidden/>
    <w:rsid w:val="00541E00"/>
    <w:pPr>
      <w:widowControl/>
      <w:jc w:val="left"/>
    </w:pPr>
    <w:rPr>
      <w:rFonts w:eastAsia="华文楷体"/>
      <w:kern w:val="0"/>
      <w:sz w:val="20"/>
      <w:szCs w:val="20"/>
    </w:rPr>
  </w:style>
  <w:style w:type="character" w:customStyle="1" w:styleId="Char1">
    <w:name w:val="批注文字 Char"/>
    <w:basedOn w:val="a0"/>
    <w:link w:val="a5"/>
    <w:uiPriority w:val="99"/>
    <w:semiHidden/>
    <w:rsid w:val="00541E00"/>
    <w:rPr>
      <w:rFonts w:ascii="Times New Roman" w:eastAsia="华文楷体" w:hAnsi="Times New Roman" w:cs="Times New Roman"/>
      <w:kern w:val="0"/>
      <w:sz w:val="20"/>
      <w:szCs w:val="20"/>
    </w:rPr>
  </w:style>
  <w:style w:type="character" w:styleId="a6">
    <w:name w:val="annotation reference"/>
    <w:basedOn w:val="a0"/>
    <w:uiPriority w:val="99"/>
    <w:semiHidden/>
    <w:rsid w:val="00541E00"/>
    <w:rPr>
      <w:sz w:val="21"/>
      <w:szCs w:val="21"/>
    </w:rPr>
  </w:style>
  <w:style w:type="paragraph" w:styleId="a7">
    <w:name w:val="Balloon Text"/>
    <w:basedOn w:val="a"/>
    <w:link w:val="Char2"/>
    <w:uiPriority w:val="99"/>
    <w:semiHidden/>
    <w:unhideWhenUsed/>
    <w:rsid w:val="00541E00"/>
    <w:rPr>
      <w:sz w:val="18"/>
      <w:szCs w:val="18"/>
    </w:rPr>
  </w:style>
  <w:style w:type="character" w:customStyle="1" w:styleId="Char2">
    <w:name w:val="批注框文本 Char"/>
    <w:basedOn w:val="a0"/>
    <w:link w:val="a7"/>
    <w:uiPriority w:val="99"/>
    <w:semiHidden/>
    <w:rsid w:val="00541E00"/>
    <w:rPr>
      <w:rFonts w:ascii="Times New Roman" w:eastAsia="宋体" w:hAnsi="Times New Roman" w:cs="Times New Roman"/>
      <w:sz w:val="18"/>
      <w:szCs w:val="18"/>
    </w:rPr>
  </w:style>
  <w:style w:type="table" w:styleId="a8">
    <w:name w:val="Table Grid"/>
    <w:basedOn w:val="a1"/>
    <w:uiPriority w:val="39"/>
    <w:rsid w:val="00541E0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subject"/>
    <w:basedOn w:val="a5"/>
    <w:next w:val="a5"/>
    <w:link w:val="Char3"/>
    <w:uiPriority w:val="99"/>
    <w:semiHidden/>
    <w:unhideWhenUsed/>
    <w:rsid w:val="004872CF"/>
    <w:pPr>
      <w:widowControl w:val="0"/>
    </w:pPr>
    <w:rPr>
      <w:rFonts w:eastAsia="宋体"/>
      <w:b/>
      <w:bCs/>
      <w:kern w:val="2"/>
      <w:sz w:val="21"/>
      <w:szCs w:val="24"/>
    </w:rPr>
  </w:style>
  <w:style w:type="character" w:customStyle="1" w:styleId="Char3">
    <w:name w:val="批注主题 Char"/>
    <w:basedOn w:val="Char1"/>
    <w:link w:val="a9"/>
    <w:uiPriority w:val="99"/>
    <w:semiHidden/>
    <w:rsid w:val="004872CF"/>
    <w:rPr>
      <w:rFonts w:ascii="Times New Roman" w:eastAsia="宋体" w:hAnsi="Times New Roman" w:cs="Times New Roman"/>
      <w:b/>
      <w:bCs/>
      <w:kern w:val="0"/>
      <w:sz w:val="20"/>
      <w:szCs w:val="24"/>
    </w:rPr>
  </w:style>
  <w:style w:type="paragraph" w:styleId="aa">
    <w:name w:val="Document Map"/>
    <w:basedOn w:val="a"/>
    <w:link w:val="Char4"/>
    <w:uiPriority w:val="99"/>
    <w:semiHidden/>
    <w:unhideWhenUsed/>
    <w:rsid w:val="00F7347C"/>
    <w:rPr>
      <w:rFonts w:ascii="宋体"/>
      <w:sz w:val="18"/>
      <w:szCs w:val="18"/>
    </w:rPr>
  </w:style>
  <w:style w:type="character" w:customStyle="1" w:styleId="Char4">
    <w:name w:val="文档结构图 Char"/>
    <w:basedOn w:val="a0"/>
    <w:link w:val="aa"/>
    <w:uiPriority w:val="99"/>
    <w:semiHidden/>
    <w:rsid w:val="00F7347C"/>
    <w:rPr>
      <w:rFonts w:ascii="宋体" w:eastAsia="宋体" w:hAnsi="Times New Roman" w:cs="Times New Roman"/>
      <w:sz w:val="18"/>
      <w:szCs w:val="18"/>
    </w:rPr>
  </w:style>
  <w:style w:type="character" w:customStyle="1" w:styleId="fontstyle01">
    <w:name w:val="fontstyle01"/>
    <w:basedOn w:val="a0"/>
    <w:rsid w:val="00FA41E4"/>
    <w:rPr>
      <w:rFonts w:ascii="宋体" w:eastAsia="宋体" w:hAnsi="宋体" w:hint="eastAsia"/>
      <w:b w:val="0"/>
      <w:bCs w:val="0"/>
      <w:i w:val="0"/>
      <w:iCs w:val="0"/>
      <w:color w:val="000000"/>
      <w:sz w:val="24"/>
      <w:szCs w:val="24"/>
    </w:rPr>
  </w:style>
  <w:style w:type="paragraph" w:styleId="ab">
    <w:name w:val="Normal (Web)"/>
    <w:basedOn w:val="a"/>
    <w:uiPriority w:val="99"/>
    <w:rsid w:val="00A46371"/>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AB198-2044-4661-B238-3CB8C657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Gu</dc:creator>
  <cp:lastModifiedBy>Robert</cp:lastModifiedBy>
  <cp:revision>4</cp:revision>
  <dcterms:created xsi:type="dcterms:W3CDTF">2019-03-11T09:57:00Z</dcterms:created>
  <dcterms:modified xsi:type="dcterms:W3CDTF">2019-03-27T08:20:00Z</dcterms:modified>
</cp:coreProperties>
</file>